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2020年度</w:t>
      </w:r>
    </w:p>
    <w:p>
      <w:pPr>
        <w:pStyle w:val="12"/>
        <w:jc w:val="center"/>
        <w:rPr>
          <w:rFonts w:hint="eastAsia"/>
          <w:sz w:val="84"/>
          <w:szCs w:val="84"/>
          <w:lang w:val="en-US" w:eastAsia="zh-CN"/>
        </w:rPr>
      </w:pPr>
      <w:r>
        <w:rPr>
          <w:rFonts w:hint="eastAsia"/>
          <w:sz w:val="84"/>
          <w:szCs w:val="84"/>
          <w:lang w:val="en-US" w:eastAsia="zh-CN"/>
        </w:rPr>
        <w:t>永州师范高等专科学校</w:t>
      </w:r>
    </w:p>
    <w:p>
      <w:pPr>
        <w:pStyle w:val="12"/>
        <w:jc w:val="center"/>
        <w:rPr>
          <w:sz w:val="84"/>
          <w:szCs w:val="84"/>
        </w:rPr>
      </w:pP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both"/>
        <w:rPr>
          <w:sz w:val="56"/>
          <w:szCs w:val="56"/>
        </w:rPr>
      </w:pPr>
    </w:p>
    <w:p>
      <w:pPr>
        <w:pStyle w:val="12"/>
        <w:spacing w:line="500" w:lineRule="exact"/>
        <w:jc w:val="center"/>
        <w:rPr>
          <w:rFonts w:hint="eastAsia"/>
          <w:b/>
          <w:sz w:val="36"/>
          <w:szCs w:val="28"/>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永州师范高等专科学校</w:t>
      </w:r>
      <w:r>
        <w:rPr>
          <w:rFonts w:hint="eastAsia"/>
          <w:b/>
          <w:sz w:val="28"/>
          <w:szCs w:val="28"/>
        </w:rPr>
        <w:t>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2"/>
        <w:jc w:val="center"/>
        <w:rPr>
          <w:sz w:val="84"/>
          <w:szCs w:val="84"/>
        </w:rPr>
      </w:pPr>
      <w:r>
        <w:rPr>
          <w:rFonts w:hint="eastAsia"/>
          <w:sz w:val="84"/>
          <w:szCs w:val="84"/>
        </w:rPr>
        <w:t>第一部分</w:t>
      </w:r>
      <w:r>
        <w:rPr>
          <w:sz w:val="84"/>
          <w:szCs w:val="84"/>
        </w:rPr>
        <w:t xml:space="preserve"> </w:t>
      </w:r>
    </w:p>
    <w:p>
      <w:pPr>
        <w:pStyle w:val="12"/>
        <w:jc w:val="center"/>
        <w:rPr>
          <w:sz w:val="84"/>
          <w:szCs w:val="84"/>
        </w:rPr>
      </w:pPr>
    </w:p>
    <w:p>
      <w:pPr>
        <w:pStyle w:val="12"/>
        <w:jc w:val="center"/>
        <w:rPr>
          <w:sz w:val="84"/>
          <w:szCs w:val="84"/>
        </w:rPr>
      </w:pPr>
      <w:r>
        <w:rPr>
          <w:rFonts w:hint="eastAsia"/>
          <w:sz w:val="84"/>
          <w:szCs w:val="84"/>
          <w:lang w:val="en-US" w:eastAsia="zh-CN"/>
        </w:rPr>
        <w:t>永州师范高等专科学校</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ind w:left="720" w:firstLine="0" w:firstLineChars="0"/>
        <w:jc w:val="left"/>
        <w:rPr>
          <w:rFonts w:ascii="黑体" w:hAnsi="黑体" w:eastAsia="黑体"/>
          <w:sz w:val="32"/>
          <w:szCs w:val="32"/>
        </w:rPr>
      </w:pPr>
    </w:p>
    <w:p>
      <w:pPr>
        <w:pStyle w:val="13"/>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ascii="仿宋_GB2312" w:eastAsia="仿宋_GB2312" w:hAnsiTheme="minorEastAsia"/>
          <w:sz w:val="28"/>
          <w:szCs w:val="32"/>
        </w:rPr>
      </w:pPr>
      <w:r>
        <w:rPr>
          <w:rFonts w:hint="eastAsia" w:asciiTheme="minorEastAsia" w:hAnsiTheme="minorEastAsia"/>
          <w:bCs/>
          <w:kern w:val="0"/>
          <w:sz w:val="32"/>
          <w:szCs w:val="32"/>
          <w:lang w:val="en-US" w:eastAsia="zh-CN"/>
        </w:rPr>
        <w:t>永州师范高等专科学校秉承“学高为师，身正为范”的校训，立足永州、面向全省、辐射周边省市，培养德智体美劳全面发展、“一专多能”、服务基础教育和经济社会发展的高素质人才。</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永州师范高等专科学校</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val="en-US" w:eastAsia="zh-CN"/>
        </w:rPr>
        <w:t>党政办、组织人事处、宣传统战办、纪检监督审计处、教务处、科研处、学生处、计划财务校产处、后勤基建处、招生就业处、督导室、安保法制处、继续教育部、工会、团委。</w:t>
      </w:r>
    </w:p>
    <w:p>
      <w:pPr>
        <w:widowControl/>
        <w:spacing w:line="600" w:lineRule="exact"/>
        <w:rPr>
          <w:rFonts w:hint="default" w:asciiTheme="minorEastAsia" w:hAnsiTheme="minorEastAsia" w:eastAsiaTheme="minorEastAsia"/>
          <w:bCs/>
          <w:kern w:val="0"/>
          <w:sz w:val="32"/>
          <w:szCs w:val="32"/>
          <w:lang w:val="en-US"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永州师范高等专科学校</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Theme="minorEastAsia" w:hAnsiTheme="minorEastAsia"/>
          <w:bCs/>
          <w:kern w:val="0"/>
          <w:sz w:val="32"/>
          <w:szCs w:val="32"/>
          <w:lang w:val="en-US" w:eastAsia="zh-CN"/>
        </w:rPr>
        <w:t>永州师范高等专科学校本部。</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ascii="仿宋_GB2312" w:hAnsi="仿宋_GB2312" w:eastAsia="仿宋_GB2312" w:cs="仿宋_GB2312"/>
          <w:sz w:val="36"/>
          <w:szCs w:val="36"/>
          <w:lang w:eastAsia="zh-CN"/>
        </w:rPr>
      </w:pPr>
    </w:p>
    <w:p>
      <w:pPr>
        <w:jc w:val="center"/>
        <w:rPr>
          <w:rFonts w:hint="eastAsia" w:eastAsiaTheme="minorEastAsia"/>
          <w:sz w:val="72"/>
          <w:szCs w:val="72"/>
          <w:lang w:eastAsia="zh-CN"/>
        </w:rPr>
      </w:pPr>
      <w:r>
        <w:rPr>
          <w:rFonts w:hint="eastAsia" w:ascii="仿宋_GB2312" w:hAnsi="仿宋_GB2312" w:eastAsia="仿宋_GB2312" w:cs="仿宋_GB2312"/>
          <w:sz w:val="36"/>
          <w:szCs w:val="36"/>
          <w:lang w:eastAsia="zh-CN"/>
        </w:rPr>
        <w:t>（详见附表）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2"/>
        <w:rPr>
          <w:sz w:val="72"/>
          <w:szCs w:val="72"/>
        </w:rPr>
      </w:pPr>
    </w:p>
    <w:p>
      <w:pPr>
        <w:pStyle w:val="12"/>
        <w:rPr>
          <w:sz w:val="72"/>
          <w:szCs w:val="72"/>
        </w:rPr>
      </w:pPr>
    </w:p>
    <w:p>
      <w:pPr>
        <w:pStyle w:val="12"/>
        <w:rPr>
          <w:sz w:val="72"/>
          <w:szCs w:val="72"/>
        </w:rPr>
      </w:pPr>
    </w:p>
    <w:p>
      <w:pPr>
        <w:pStyle w:val="12"/>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r>
        <w:rPr>
          <w:rFonts w:hint="eastAsia"/>
          <w:sz w:val="72"/>
          <w:szCs w:val="72"/>
        </w:rPr>
        <w:t>第三部分</w:t>
      </w:r>
    </w:p>
    <w:p>
      <w:pPr>
        <w:pStyle w:val="12"/>
        <w:jc w:val="center"/>
        <w:rPr>
          <w:sz w:val="70"/>
          <w:szCs w:val="70"/>
        </w:rPr>
      </w:pPr>
    </w:p>
    <w:p>
      <w:pPr>
        <w:pStyle w:val="12"/>
        <w:jc w:val="center"/>
        <w:rPr>
          <w:sz w:val="70"/>
          <w:szCs w:val="70"/>
        </w:rPr>
      </w:pPr>
      <w:r>
        <w:rPr>
          <w:sz w:val="70"/>
          <w:szCs w:val="70"/>
        </w:rPr>
        <w:t>20</w:t>
      </w:r>
      <w:r>
        <w:rPr>
          <w:rFonts w:hint="eastAsia"/>
          <w:sz w:val="70"/>
          <w:szCs w:val="70"/>
        </w:rPr>
        <w:t>20年度部门决算情况说明</w:t>
      </w:r>
    </w:p>
    <w:p>
      <w:pPr>
        <w:widowControl/>
        <w:jc w:val="left"/>
        <w:rPr>
          <w:rFonts w:asciiTheme="minorEastAsia" w:hAnsiTheme="minorEastAsia" w:eastAsiaTheme="minorEastAsia"/>
          <w:sz w:val="32"/>
          <w:szCs w:val="32"/>
        </w:rPr>
      </w:pPr>
      <w:r>
        <w:rPr>
          <w:sz w:val="70"/>
          <w:szCs w:val="70"/>
        </w:rPr>
        <w:br w:type="page"/>
      </w:r>
    </w:p>
    <w:p>
      <w:pPr>
        <w:pStyle w:val="12"/>
        <w:rPr>
          <w:rFonts w:hAnsi="黑体"/>
          <w:b/>
          <w:sz w:val="32"/>
          <w:szCs w:val="32"/>
        </w:rPr>
      </w:pPr>
      <w:r>
        <w:rPr>
          <w:rFonts w:hint="eastAsia" w:hAnsi="黑体"/>
          <w:b/>
          <w:sz w:val="32"/>
          <w:szCs w:val="32"/>
        </w:rPr>
        <w:t>一、收入支出决算总体情况说明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w:t>
      </w:r>
      <w:r>
        <w:rPr>
          <w:rFonts w:hint="eastAsia" w:asciiTheme="minorEastAsia" w:hAnsiTheme="minorEastAsia" w:eastAsiaTheme="minorEastAsia"/>
          <w:sz w:val="32"/>
          <w:szCs w:val="32"/>
          <w:lang w:eastAsia="zh-CN"/>
        </w:rPr>
        <w:t>收入总计</w:t>
      </w:r>
      <w:r>
        <w:rPr>
          <w:rFonts w:hint="eastAsia" w:asciiTheme="minorEastAsia" w:hAnsiTheme="minorEastAsia" w:eastAsiaTheme="minorEastAsia"/>
          <w:sz w:val="32"/>
          <w:szCs w:val="32"/>
          <w:lang w:val="en-US" w:eastAsia="zh-CN"/>
        </w:rPr>
        <w:t>7792.92万元，本单位为新增单位，收入无上年数据可比</w:t>
      </w:r>
      <w:r>
        <w:rPr>
          <w:rFonts w:hint="eastAsia" w:asciiTheme="minorEastAsia" w:hAnsiTheme="minorEastAsia" w:eastAsiaTheme="minorEastAsia"/>
          <w:sz w:val="32"/>
          <w:szCs w:val="32"/>
          <w:lang w:eastAsia="zh-CN"/>
        </w:rPr>
        <w:t>；支出总计</w:t>
      </w:r>
      <w:r>
        <w:rPr>
          <w:rFonts w:hint="eastAsia" w:asciiTheme="minorEastAsia" w:hAnsiTheme="minorEastAsia" w:eastAsiaTheme="minorEastAsia"/>
          <w:sz w:val="32"/>
          <w:szCs w:val="32"/>
          <w:lang w:val="en-US" w:eastAsia="zh-CN"/>
        </w:rPr>
        <w:t>7792.92万元，本单位为新增单位，支出无上年数据可比。</w:t>
      </w:r>
    </w:p>
    <w:p>
      <w:pPr>
        <w:pStyle w:val="12"/>
        <w:rPr>
          <w:rFonts w:hAnsi="黑体"/>
          <w:b/>
          <w:sz w:val="32"/>
          <w:szCs w:val="32"/>
        </w:rPr>
      </w:pPr>
      <w:r>
        <w:rPr>
          <w:rFonts w:hint="eastAsia" w:hAnsi="黑体"/>
          <w:b/>
          <w:sz w:val="32"/>
          <w:szCs w:val="32"/>
        </w:rPr>
        <w:t>二、收入决算情况说明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7777.48</w:t>
      </w:r>
      <w:r>
        <w:rPr>
          <w:rFonts w:hint="eastAsia" w:asciiTheme="minorEastAsia" w:hAnsiTheme="minorEastAsia" w:eastAsiaTheme="minorEastAsia"/>
          <w:sz w:val="32"/>
          <w:szCs w:val="32"/>
        </w:rPr>
        <w:t>万元，其中：</w:t>
      </w:r>
      <w:bookmarkStart w:id="0" w:name="_GoBack"/>
      <w:bookmarkEnd w:id="0"/>
      <w:r>
        <w:rPr>
          <w:rFonts w:hint="eastAsia" w:asciiTheme="minorEastAsia" w:hAnsiTheme="minorEastAsia" w:eastAsiaTheme="minorEastAsia"/>
          <w:sz w:val="32"/>
          <w:szCs w:val="32"/>
        </w:rPr>
        <w:t>财政拨款收入</w:t>
      </w:r>
      <w:r>
        <w:rPr>
          <w:rFonts w:hint="eastAsia" w:asciiTheme="minorEastAsia" w:hAnsiTheme="minorEastAsia" w:eastAsiaTheme="minorEastAsia"/>
          <w:sz w:val="32"/>
          <w:szCs w:val="32"/>
          <w:lang w:val="en-US" w:eastAsia="zh-CN"/>
        </w:rPr>
        <w:t>4351.46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55.95</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3240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41.66</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186.02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2.39</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7666.99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7122.23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92.89</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544.77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7.11</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四、财政拨款收入支出决算总体情况说明</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color w:val="auto"/>
          <w:sz w:val="32"/>
          <w:szCs w:val="32"/>
          <w:shd w:val="clear" w:color="auto" w:fill="auto"/>
        </w:rPr>
        <w:t xml:space="preserve"> </w:t>
      </w:r>
      <w:r>
        <w:rPr>
          <w:rFonts w:hint="eastAsia" w:asciiTheme="minorEastAsia" w:hAnsiTheme="minorEastAsia" w:eastAsiaTheme="minorEastAsia"/>
          <w:sz w:val="32"/>
          <w:szCs w:val="32"/>
        </w:rPr>
        <w:t>2020年度财政拨款收</w:t>
      </w:r>
      <w:r>
        <w:rPr>
          <w:rFonts w:hint="eastAsia" w:asciiTheme="minorEastAsia" w:hAnsiTheme="minorEastAsia" w:eastAsiaTheme="minorEastAsia"/>
          <w:sz w:val="32"/>
          <w:szCs w:val="32"/>
          <w:lang w:val="en-US" w:eastAsia="zh-CN"/>
        </w:rPr>
        <w:t>入</w:t>
      </w:r>
      <w:r>
        <w:rPr>
          <w:rFonts w:hint="eastAsia" w:asciiTheme="minorEastAsia" w:hAnsiTheme="minorEastAsia" w:eastAsiaTheme="minorEastAsia"/>
          <w:sz w:val="32"/>
          <w:szCs w:val="32"/>
        </w:rPr>
        <w:t>总计</w:t>
      </w:r>
      <w:r>
        <w:rPr>
          <w:rFonts w:hint="eastAsia" w:asciiTheme="minorEastAsia" w:hAnsiTheme="minorEastAsia" w:eastAsiaTheme="minorEastAsia"/>
          <w:sz w:val="32"/>
          <w:szCs w:val="32"/>
          <w:lang w:val="en-US" w:eastAsia="zh-CN"/>
        </w:rPr>
        <w:t>4351.46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本单位为新增单位，收入无上年数据可比</w:t>
      </w:r>
      <w:r>
        <w:rPr>
          <w:rFonts w:hint="eastAsia" w:asciiTheme="minorEastAsia" w:hAnsiTheme="minorEastAsia" w:eastAsiaTheme="minorEastAsia"/>
          <w:sz w:val="32"/>
          <w:szCs w:val="32"/>
          <w:lang w:eastAsia="zh-CN"/>
        </w:rPr>
        <w:t>；支出总计</w:t>
      </w:r>
      <w:r>
        <w:rPr>
          <w:rFonts w:hint="eastAsia" w:asciiTheme="minorEastAsia" w:hAnsiTheme="minorEastAsia" w:eastAsiaTheme="minorEastAsia"/>
          <w:sz w:val="32"/>
          <w:szCs w:val="32"/>
          <w:lang w:val="en-US" w:eastAsia="zh-CN"/>
        </w:rPr>
        <w:t>4351.46万元，本单位为新增单位，支出无上年数据可比</w:t>
      </w:r>
      <w:r>
        <w:rPr>
          <w:rFonts w:hint="eastAsia" w:asciiTheme="minorEastAsia" w:hAnsiTheme="minorEastAsia" w:eastAsiaTheme="minorEastAsia"/>
          <w:sz w:val="32"/>
          <w:szCs w:val="32"/>
          <w:lang w:eastAsia="zh-CN"/>
        </w:rPr>
        <w:t>。</w:t>
      </w:r>
    </w:p>
    <w:p>
      <w:pPr>
        <w:pStyle w:val="12"/>
        <w:numPr>
          <w:ilvl w:val="0"/>
          <w:numId w:val="2"/>
        </w:numPr>
        <w:rPr>
          <w:rFonts w:hint="eastAsia" w:hAnsi="黑体"/>
          <w:b/>
          <w:sz w:val="32"/>
          <w:szCs w:val="32"/>
        </w:rPr>
      </w:pPr>
      <w:r>
        <w:rPr>
          <w:rFonts w:hint="eastAsia" w:hAnsi="黑体"/>
          <w:b/>
          <w:sz w:val="32"/>
          <w:szCs w:val="32"/>
        </w:rPr>
        <w:t>一般公共预算财政拨款支出决算情况说明</w:t>
      </w:r>
    </w:p>
    <w:p>
      <w:pPr>
        <w:pStyle w:val="12"/>
        <w:numPr>
          <w:ilvl w:val="0"/>
          <w:numId w:val="0"/>
        </w:numPr>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lang w:eastAsia="zh-CN"/>
        </w:rPr>
        <w:t>（</w:t>
      </w:r>
      <w:r>
        <w:rPr>
          <w:rFonts w:hint="eastAsia" w:asciiTheme="minorEastAsia" w:hAnsiTheme="minorEastAsia" w:eastAsiaTheme="minorEastAsia"/>
          <w:b/>
          <w:sz w:val="32"/>
          <w:szCs w:val="32"/>
          <w:lang w:val="en-US" w:eastAsia="zh-CN"/>
        </w:rPr>
        <w:t>一</w:t>
      </w:r>
      <w:r>
        <w:rPr>
          <w:rFonts w:hint="eastAsia" w:asciiTheme="minorEastAsia" w:hAnsiTheme="minorEastAsia" w:eastAsiaTheme="minorEastAsia"/>
          <w:b/>
          <w:sz w:val="32"/>
          <w:szCs w:val="32"/>
          <w:lang w:eastAsia="zh-CN"/>
        </w:rPr>
        <w:t>）</w:t>
      </w:r>
      <w:r>
        <w:rPr>
          <w:rFonts w:hint="eastAsia" w:asciiTheme="minorEastAsia" w:hAnsiTheme="minorEastAsia" w:eastAsiaTheme="minorEastAsia"/>
          <w:b/>
          <w:sz w:val="32"/>
          <w:szCs w:val="32"/>
        </w:rPr>
        <w:t>财政拨款支出决算总体情况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4351.46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56.76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本单位为新增单位，支出无上年数据可比</w:t>
      </w:r>
      <w:r>
        <w:rPr>
          <w:rFonts w:hint="eastAsia" w:asciiTheme="minorEastAsia" w:hAnsiTheme="minorEastAsia" w:eastAsiaTheme="minorEastAsia"/>
          <w:sz w:val="32"/>
          <w:szCs w:val="32"/>
          <w:lang w:eastAsia="zh-CN"/>
        </w:rPr>
        <w:t>。</w:t>
      </w:r>
    </w:p>
    <w:p>
      <w:pPr>
        <w:pStyle w:val="12"/>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color w:val="auto"/>
          <w:sz w:val="32"/>
          <w:szCs w:val="32"/>
          <w:shd w:val="clear" w:color="auto" w:fill="auto"/>
        </w:rPr>
        <w:t>2020年度财政拨款支出</w:t>
      </w:r>
      <w:r>
        <w:rPr>
          <w:rFonts w:hint="eastAsia" w:asciiTheme="minorEastAsia" w:hAnsiTheme="minorEastAsia" w:eastAsiaTheme="minorEastAsia"/>
          <w:color w:val="auto"/>
          <w:sz w:val="32"/>
          <w:szCs w:val="32"/>
          <w:shd w:val="clear" w:color="auto" w:fill="auto"/>
          <w:lang w:val="en-US" w:eastAsia="zh-CN"/>
        </w:rPr>
        <w:t>4351.46</w:t>
      </w:r>
      <w:r>
        <w:rPr>
          <w:rFonts w:hint="eastAsia" w:asciiTheme="minorEastAsia" w:hAnsiTheme="minorEastAsia" w:eastAsiaTheme="minorEastAsia"/>
          <w:color w:val="auto"/>
          <w:sz w:val="32"/>
          <w:szCs w:val="32"/>
          <w:shd w:val="clear" w:color="auto" w:fill="auto"/>
        </w:rPr>
        <w:t>万元，主要用于以下方面：教育（类）支出</w:t>
      </w:r>
      <w:r>
        <w:rPr>
          <w:rFonts w:hint="eastAsia" w:asciiTheme="minorEastAsia" w:hAnsiTheme="minorEastAsia" w:eastAsiaTheme="minorEastAsia"/>
          <w:color w:val="auto"/>
          <w:sz w:val="32"/>
          <w:szCs w:val="32"/>
          <w:shd w:val="clear" w:color="auto" w:fill="auto"/>
          <w:lang w:val="en-US" w:eastAsia="zh-CN"/>
        </w:rPr>
        <w:t>4010.67</w:t>
      </w:r>
      <w:r>
        <w:rPr>
          <w:rFonts w:hint="eastAsia" w:asciiTheme="minorEastAsia" w:hAnsiTheme="minorEastAsia" w:eastAsiaTheme="minorEastAsia"/>
          <w:color w:val="auto"/>
          <w:sz w:val="32"/>
          <w:szCs w:val="32"/>
          <w:shd w:val="clear" w:color="auto" w:fill="auto"/>
        </w:rPr>
        <w:t>万元，占</w:t>
      </w:r>
      <w:r>
        <w:rPr>
          <w:rFonts w:hint="eastAsia" w:asciiTheme="minorEastAsia" w:hAnsiTheme="minorEastAsia" w:eastAsiaTheme="minorEastAsia"/>
          <w:color w:val="auto"/>
          <w:sz w:val="32"/>
          <w:szCs w:val="32"/>
          <w:shd w:val="clear" w:color="auto" w:fill="auto"/>
          <w:lang w:val="en-US" w:eastAsia="zh-CN"/>
        </w:rPr>
        <w:t>92.17</w:t>
      </w:r>
      <w:r>
        <w:rPr>
          <w:rFonts w:hint="eastAsia" w:asciiTheme="minorEastAsia" w:hAnsiTheme="minorEastAsia" w:eastAsiaTheme="minorEastAsia"/>
          <w:color w:val="auto"/>
          <w:sz w:val="32"/>
          <w:szCs w:val="32"/>
          <w:shd w:val="clear" w:color="auto" w:fill="auto"/>
        </w:rPr>
        <w:t>%</w:t>
      </w:r>
      <w:r>
        <w:rPr>
          <w:rFonts w:hint="eastAsia" w:asciiTheme="minorEastAsia" w:hAnsiTheme="minorEastAsia" w:eastAsiaTheme="minorEastAsia"/>
          <w:color w:val="auto"/>
          <w:sz w:val="32"/>
          <w:szCs w:val="32"/>
          <w:shd w:val="clear" w:color="auto" w:fill="auto"/>
          <w:lang w:eastAsia="zh-CN"/>
        </w:rPr>
        <w:t>；</w:t>
      </w:r>
      <w:r>
        <w:rPr>
          <w:rFonts w:hint="eastAsia" w:asciiTheme="minorEastAsia" w:hAnsiTheme="minorEastAsia" w:eastAsiaTheme="minorEastAsia"/>
          <w:color w:val="auto"/>
          <w:sz w:val="32"/>
          <w:szCs w:val="32"/>
          <w:shd w:val="clear" w:color="auto" w:fill="auto"/>
          <w:lang w:val="en-US" w:eastAsia="zh-CN"/>
        </w:rPr>
        <w:t>社会保障与就业（类）支出246.23万元，占5.66%；卫生健康（类）支出94.56万元，占2.17%。</w:t>
      </w:r>
    </w:p>
    <w:p>
      <w:pPr>
        <w:pStyle w:val="12"/>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8362.48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4351.46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52.04</w:t>
      </w:r>
      <w:r>
        <w:rPr>
          <w:rFonts w:hint="eastAsia" w:asciiTheme="minorEastAsia" w:hAnsiTheme="minorEastAsia" w:eastAsiaTheme="minorEastAsia"/>
          <w:sz w:val="32"/>
          <w:szCs w:val="32"/>
        </w:rPr>
        <w:t>%，其中：</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教育支出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职业教育</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中等教育</w:t>
      </w:r>
      <w:r>
        <w:rPr>
          <w:rFonts w:hint="eastAsia" w:asciiTheme="minorEastAsia" w:hAnsiTheme="minorEastAsia" w:eastAsiaTheme="minorEastAsia"/>
          <w:sz w:val="32"/>
          <w:szCs w:val="32"/>
        </w:rPr>
        <w:t>（项）。</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2182.48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2189.02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2020年度有新入职人员，追加安排新增人员的工资福利支出。</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教育支出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职业教育</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高等教育</w:t>
      </w:r>
      <w:r>
        <w:rPr>
          <w:rFonts w:hint="eastAsia" w:asciiTheme="minorEastAsia" w:hAnsiTheme="minorEastAsia" w:eastAsiaTheme="minorEastAsia"/>
          <w:sz w:val="32"/>
          <w:szCs w:val="32"/>
        </w:rPr>
        <w:t>（项）。</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1115.98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年初预算未安排，为年中追加安排的基础教育发展专项资金及高校学生资助资金。</w:t>
      </w:r>
    </w:p>
    <w:p>
      <w:pPr>
        <w:pStyle w:val="12"/>
        <w:numPr>
          <w:ilvl w:val="0"/>
          <w:numId w:val="3"/>
        </w:numPr>
        <w:ind w:left="-10" w:leftChars="0" w:firstLine="64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教育支出（类）职业教育（款）其他职业教育支出（项）</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155.09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年初预算未安排，为年中追加安排的中职免学费补助资金。</w:t>
      </w:r>
    </w:p>
    <w:p>
      <w:pPr>
        <w:pStyle w:val="12"/>
        <w:numPr>
          <w:ilvl w:val="0"/>
          <w:numId w:val="3"/>
        </w:numPr>
        <w:ind w:left="-10" w:leftChars="0" w:firstLine="640" w:firstLineChars="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教育支出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教育费附加安排的支出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其他教育费附加安排的支出</w:t>
      </w:r>
      <w:r>
        <w:rPr>
          <w:rFonts w:hint="eastAsia" w:asciiTheme="minorEastAsia" w:hAnsiTheme="minorEastAsia" w:eastAsiaTheme="minorEastAsia"/>
          <w:sz w:val="32"/>
          <w:szCs w:val="32"/>
        </w:rPr>
        <w:t>（项）。</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281.57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年初预算未安排，为年中追加安排的教师节慰问金、本专科国家助学金市级配套资金。</w:t>
      </w:r>
    </w:p>
    <w:p>
      <w:pPr>
        <w:pStyle w:val="12"/>
        <w:numPr>
          <w:ilvl w:val="0"/>
          <w:numId w:val="3"/>
        </w:numPr>
        <w:ind w:left="-10" w:leftChars="0" w:firstLine="640" w:firstLineChars="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教育支出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其他教育支出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其他教育支出</w:t>
      </w:r>
      <w:r>
        <w:rPr>
          <w:rFonts w:hint="eastAsia" w:asciiTheme="minorEastAsia" w:hAnsiTheme="minorEastAsia" w:eastAsiaTheme="minorEastAsia"/>
          <w:sz w:val="32"/>
          <w:szCs w:val="32"/>
        </w:rPr>
        <w:t>（项）。</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269.02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年初预算未安排，为年中追加安排的教学实验、实训仪器设备及书法教室采购项目款。</w:t>
      </w:r>
    </w:p>
    <w:p>
      <w:pPr>
        <w:pStyle w:val="12"/>
        <w:numPr>
          <w:ilvl w:val="0"/>
          <w:numId w:val="3"/>
        </w:numPr>
        <w:ind w:left="-10" w:leftChars="0" w:firstLine="640" w:firstLineChars="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社会保障和就业支出（类）行政事业单位养老支出（款）机关事业单位基本养老保险缴费支出（项）</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237.46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年初预算未安排，为年中追加安排的基本养老保险缴费支出。</w:t>
      </w:r>
    </w:p>
    <w:p>
      <w:pPr>
        <w:pStyle w:val="12"/>
        <w:numPr>
          <w:ilvl w:val="0"/>
          <w:numId w:val="3"/>
        </w:numPr>
        <w:ind w:left="-10" w:leftChars="0" w:firstLine="640" w:firstLineChars="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社会保障和就业支出（类）抚恤（款）死亡抚恤（项）</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8.77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年初预算未安排，为年中追加安排的死亡抚恤支出。</w:t>
      </w:r>
    </w:p>
    <w:p>
      <w:pPr>
        <w:pStyle w:val="12"/>
        <w:numPr>
          <w:ilvl w:val="0"/>
          <w:numId w:val="3"/>
        </w:numPr>
        <w:ind w:left="-10" w:leftChars="0" w:firstLine="640" w:firstLineChars="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卫生健康支出（类）行政事业单位医疗（款）事业单位医疗</w:t>
      </w:r>
    </w:p>
    <w:p>
      <w:pPr>
        <w:pStyle w:val="12"/>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94.56</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年初预算未安排，为年中追加安排的基本医疗保险缴费支出。</w:t>
      </w:r>
    </w:p>
    <w:p>
      <w:pPr>
        <w:pStyle w:val="12"/>
        <w:rPr>
          <w:rFonts w:hAnsi="黑体"/>
          <w:b/>
          <w:sz w:val="32"/>
          <w:szCs w:val="32"/>
        </w:rPr>
      </w:pPr>
      <w:r>
        <w:rPr>
          <w:rFonts w:hint="eastAsia" w:hAnsi="黑体"/>
          <w:b/>
          <w:sz w:val="32"/>
          <w:szCs w:val="32"/>
        </w:rPr>
        <w:t>六、一般公共预算财政拨款基本支出决算情况说明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3806.69</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2854.61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74.99</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绩效工资、机关事业单位基本养老保险缴费、职工基本医疗保险缴费、其他社会保障缴费</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952.08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25.01</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水费、电费、物业管理费、委托业务费、工会经费、公务用车运行维护费、其他商品和服务支出</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七、一般公共预算财政拨款三公经费支出决算情况说明</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11.17</w:t>
      </w:r>
      <w:r>
        <w:rPr>
          <w:rFonts w:hint="eastAsia" w:asciiTheme="minorEastAsia" w:hAnsiTheme="minorEastAsia" w:eastAsiaTheme="minorEastAsia"/>
          <w:sz w:val="32"/>
          <w:szCs w:val="32"/>
        </w:rPr>
        <w:t>元，完成预算的</w:t>
      </w:r>
      <w:r>
        <w:rPr>
          <w:rFonts w:hint="eastAsia" w:asciiTheme="minorEastAsia" w:hAnsiTheme="minorEastAsia" w:eastAsiaTheme="minorEastAsia"/>
          <w:sz w:val="32"/>
          <w:szCs w:val="32"/>
          <w:lang w:val="en-US" w:eastAsia="zh-CN"/>
        </w:rPr>
        <w:t>93.08</w:t>
      </w:r>
      <w:r>
        <w:rPr>
          <w:rFonts w:hint="eastAsia" w:asciiTheme="minorEastAsia" w:hAnsiTheme="minorEastAsia" w:eastAsiaTheme="minorEastAsia"/>
          <w:sz w:val="32"/>
          <w:szCs w:val="32"/>
        </w:rPr>
        <w:t>%，其中：</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决算数与预算数一致，本单位为新增单位，支出无上年数据可比</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0万</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val="en-US" w:eastAsia="zh-CN"/>
        </w:rPr>
        <w:t>决算数与预算数一致，本单位为新增单位，支出无上年数据可比</w:t>
      </w:r>
      <w:r>
        <w:rPr>
          <w:rFonts w:hint="eastAsia" w:asciiTheme="minorEastAsia" w:hAnsiTheme="minorEastAsia" w:eastAsiaTheme="minorEastAsia"/>
          <w:sz w:val="32"/>
          <w:szCs w:val="32"/>
        </w:rPr>
        <w:t>。</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11.17</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93.08</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单位加强对公务用车的管理，严格控制公务用车的开支</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本单位为新增单位，支出无上年数据可比</w:t>
      </w:r>
      <w:r>
        <w:rPr>
          <w:rFonts w:hint="eastAsia" w:asciiTheme="minorEastAsia" w:hAnsiTheme="minorEastAsia" w:eastAsiaTheme="minorEastAsia"/>
          <w:sz w:val="32"/>
          <w:szCs w:val="32"/>
        </w:rPr>
        <w:t>。</w:t>
      </w:r>
    </w:p>
    <w:p>
      <w:pPr>
        <w:pStyle w:val="12"/>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11.17</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93.08</w:t>
      </w:r>
      <w:r>
        <w:rPr>
          <w:rFonts w:hint="eastAsia" w:asciiTheme="minorEastAsia" w:hAnsiTheme="minorEastAsia" w:eastAsiaTheme="minorEastAsia"/>
          <w:sz w:val="32"/>
          <w:szCs w:val="32"/>
        </w:rPr>
        <w:t>%。其中：</w:t>
      </w:r>
    </w:p>
    <w:p>
      <w:pPr>
        <w:pStyle w:val="12"/>
        <w:ind w:firstLine="640" w:firstLineChars="200"/>
        <w:rPr>
          <w:rFonts w:asciiTheme="minorEastAsia" w:hAnsiTheme="minorEastAsia" w:eastAsiaTheme="minorEastAsia"/>
          <w:i w:val="0"/>
          <w:iCs w:val="0"/>
          <w:sz w:val="32"/>
          <w:szCs w:val="32"/>
        </w:rPr>
      </w:pPr>
      <w:r>
        <w:rPr>
          <w:rFonts w:hint="eastAsia" w:asciiTheme="minorEastAsia" w:hAnsiTheme="minorEastAsia" w:eastAsiaTheme="minorEastAsia"/>
          <w:i w:val="0"/>
          <w:iCs w:val="0"/>
          <w:sz w:val="32"/>
          <w:szCs w:val="32"/>
        </w:rPr>
        <w:t>1、因公出国（境）费支出决算为</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万元，全年安排因公出国（境）团组</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个，累计</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人次</w:t>
      </w:r>
      <w:r>
        <w:rPr>
          <w:rFonts w:hint="eastAsia" w:asciiTheme="minorEastAsia" w:hAnsiTheme="minorEastAsia" w:eastAsiaTheme="minorEastAsia"/>
          <w:i w:val="0"/>
          <w:iCs w:val="0"/>
          <w:sz w:val="32"/>
          <w:szCs w:val="32"/>
          <w:lang w:eastAsia="zh-CN"/>
        </w:rPr>
        <w:t>。</w:t>
      </w:r>
    </w:p>
    <w:p>
      <w:pPr>
        <w:pStyle w:val="12"/>
        <w:rPr>
          <w:rFonts w:asciiTheme="minorEastAsia" w:hAnsiTheme="minorEastAsia" w:eastAsiaTheme="minorEastAsia"/>
          <w:i w:val="0"/>
          <w:iCs w:val="0"/>
          <w:sz w:val="32"/>
          <w:szCs w:val="32"/>
        </w:rPr>
      </w:pPr>
      <w:r>
        <w:rPr>
          <w:rFonts w:hint="eastAsia" w:asciiTheme="minorEastAsia" w:hAnsiTheme="minorEastAsia" w:eastAsiaTheme="minorEastAsia"/>
          <w:i w:val="0"/>
          <w:iCs w:val="0"/>
          <w:sz w:val="32"/>
          <w:szCs w:val="32"/>
        </w:rPr>
        <w:t xml:space="preserve">    2、公务接待费支出决算为</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万元，全年共接待来访团组</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个、来宾</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人次。</w:t>
      </w:r>
    </w:p>
    <w:p>
      <w:pPr>
        <w:ind w:firstLine="640" w:firstLineChars="200"/>
        <w:rPr>
          <w:rFonts w:hint="eastAsia" w:cs="黑体" w:asciiTheme="minorEastAsia" w:hAnsiTheme="minorEastAsia" w:eastAsiaTheme="minorEastAsia"/>
          <w:i w:val="0"/>
          <w:iCs w:val="0"/>
          <w:color w:val="000000"/>
          <w:kern w:val="0"/>
          <w:sz w:val="32"/>
          <w:szCs w:val="32"/>
          <w:lang w:val="en-US" w:eastAsia="zh-CN" w:bidi="ar-SA"/>
        </w:rPr>
      </w:pPr>
      <w:r>
        <w:rPr>
          <w:rFonts w:hint="eastAsia" w:cs="黑体" w:asciiTheme="minorEastAsia" w:hAnsiTheme="minorEastAsia"/>
          <w:i w:val="0"/>
          <w:iCs w:val="0"/>
          <w:color w:val="000000"/>
          <w:kern w:val="0"/>
          <w:sz w:val="32"/>
          <w:szCs w:val="32"/>
          <w:lang w:val="en-US" w:eastAsia="zh-CN" w:bidi="ar-SA"/>
        </w:rPr>
        <w:t>3、</w:t>
      </w:r>
      <w:r>
        <w:rPr>
          <w:rFonts w:hint="eastAsia" w:cs="黑体" w:asciiTheme="minorEastAsia" w:hAnsiTheme="minorEastAsia" w:eastAsiaTheme="minorEastAsia"/>
          <w:i w:val="0"/>
          <w:iCs w:val="0"/>
          <w:color w:val="000000"/>
          <w:kern w:val="0"/>
          <w:sz w:val="32"/>
          <w:szCs w:val="32"/>
          <w:lang w:val="en-US" w:eastAsia="zh-CN" w:bidi="ar-SA"/>
        </w:rPr>
        <w:t>公务用车购置费及运行维护费支出决算为</w:t>
      </w:r>
      <w:r>
        <w:rPr>
          <w:rFonts w:hint="eastAsia" w:cs="黑体" w:asciiTheme="minorEastAsia" w:hAnsiTheme="minorEastAsia"/>
          <w:i w:val="0"/>
          <w:iCs w:val="0"/>
          <w:color w:val="000000"/>
          <w:kern w:val="0"/>
          <w:sz w:val="32"/>
          <w:szCs w:val="32"/>
          <w:lang w:val="en-US" w:eastAsia="zh-CN" w:bidi="ar-SA"/>
        </w:rPr>
        <w:t>11.17</w:t>
      </w:r>
      <w:r>
        <w:rPr>
          <w:rFonts w:hint="eastAsia" w:cs="黑体" w:asciiTheme="minorEastAsia" w:hAnsiTheme="minorEastAsia" w:eastAsiaTheme="minorEastAsia"/>
          <w:i w:val="0"/>
          <w:iCs w:val="0"/>
          <w:color w:val="000000"/>
          <w:kern w:val="0"/>
          <w:sz w:val="32"/>
          <w:szCs w:val="32"/>
          <w:lang w:val="en-US" w:eastAsia="zh-CN" w:bidi="ar-SA"/>
        </w:rPr>
        <w:t>万元，其中：公务用车购置费</w:t>
      </w:r>
      <w:r>
        <w:rPr>
          <w:rFonts w:hint="eastAsia" w:cs="黑体" w:asciiTheme="minorEastAsia" w:hAnsiTheme="minorEastAsia"/>
          <w:i w:val="0"/>
          <w:iCs w:val="0"/>
          <w:color w:val="000000"/>
          <w:kern w:val="0"/>
          <w:sz w:val="32"/>
          <w:szCs w:val="32"/>
          <w:lang w:val="en-US" w:eastAsia="zh-CN" w:bidi="ar-SA"/>
        </w:rPr>
        <w:t>0</w:t>
      </w:r>
      <w:r>
        <w:rPr>
          <w:rFonts w:hint="eastAsia" w:cs="黑体" w:asciiTheme="minorEastAsia" w:hAnsiTheme="minorEastAsia" w:eastAsiaTheme="minorEastAsia"/>
          <w:i w:val="0"/>
          <w:iCs w:val="0"/>
          <w:color w:val="000000"/>
          <w:kern w:val="0"/>
          <w:sz w:val="32"/>
          <w:szCs w:val="32"/>
          <w:lang w:val="en-US" w:eastAsia="zh-CN" w:bidi="ar-SA"/>
        </w:rPr>
        <w:t>万元</w:t>
      </w:r>
      <w:r>
        <w:rPr>
          <w:rFonts w:hint="eastAsia" w:cs="黑体" w:asciiTheme="minorEastAsia" w:hAnsiTheme="minorEastAsia"/>
          <w:i w:val="0"/>
          <w:iCs w:val="0"/>
          <w:color w:val="000000"/>
          <w:kern w:val="0"/>
          <w:sz w:val="32"/>
          <w:szCs w:val="32"/>
          <w:lang w:val="en-US" w:eastAsia="zh-CN" w:bidi="ar-SA"/>
        </w:rPr>
        <w:t>，无更新公务用车</w:t>
      </w:r>
      <w:r>
        <w:rPr>
          <w:rFonts w:hint="eastAsia" w:cs="黑体" w:asciiTheme="minorEastAsia" w:hAnsiTheme="minorEastAsia" w:eastAsiaTheme="minorEastAsia"/>
          <w:i w:val="0"/>
          <w:iCs w:val="0"/>
          <w:color w:val="000000"/>
          <w:kern w:val="0"/>
          <w:sz w:val="32"/>
          <w:szCs w:val="32"/>
          <w:lang w:val="en-US" w:eastAsia="zh-CN" w:bidi="ar-SA"/>
        </w:rPr>
        <w:t>。公务用车运行维护费</w:t>
      </w:r>
      <w:r>
        <w:rPr>
          <w:rFonts w:hint="eastAsia" w:cs="黑体" w:asciiTheme="minorEastAsia" w:hAnsiTheme="minorEastAsia"/>
          <w:i w:val="0"/>
          <w:iCs w:val="0"/>
          <w:color w:val="000000"/>
          <w:kern w:val="0"/>
          <w:sz w:val="32"/>
          <w:szCs w:val="32"/>
          <w:lang w:val="en-US" w:eastAsia="zh-CN" w:bidi="ar-SA"/>
        </w:rPr>
        <w:t>11.17</w:t>
      </w:r>
      <w:r>
        <w:rPr>
          <w:rFonts w:hint="eastAsia" w:cs="黑体" w:asciiTheme="minorEastAsia" w:hAnsiTheme="minorEastAsia" w:eastAsiaTheme="minorEastAsia"/>
          <w:i w:val="0"/>
          <w:iCs w:val="0"/>
          <w:color w:val="000000"/>
          <w:kern w:val="0"/>
          <w:sz w:val="32"/>
          <w:szCs w:val="32"/>
          <w:lang w:val="en-US" w:eastAsia="zh-CN" w:bidi="ar-SA"/>
        </w:rPr>
        <w:t>万元，主要是</w:t>
      </w:r>
      <w:r>
        <w:rPr>
          <w:rFonts w:hint="eastAsia" w:cs="黑体" w:asciiTheme="minorEastAsia" w:hAnsiTheme="minorEastAsia"/>
          <w:i w:val="0"/>
          <w:iCs w:val="0"/>
          <w:color w:val="000000"/>
          <w:kern w:val="0"/>
          <w:sz w:val="32"/>
          <w:szCs w:val="32"/>
          <w:lang w:val="en-US" w:eastAsia="zh-CN" w:bidi="ar-SA"/>
        </w:rPr>
        <w:t>车辆保险、维修保养、汽油、过桥过路</w:t>
      </w:r>
      <w:r>
        <w:rPr>
          <w:rFonts w:hint="eastAsia" w:cs="黑体" w:asciiTheme="minorEastAsia" w:hAnsiTheme="minorEastAsia" w:eastAsiaTheme="minorEastAsia"/>
          <w:i w:val="0"/>
          <w:iCs w:val="0"/>
          <w:color w:val="000000"/>
          <w:kern w:val="0"/>
          <w:sz w:val="32"/>
          <w:szCs w:val="32"/>
          <w:lang w:val="en-US" w:eastAsia="zh-CN" w:bidi="ar-SA"/>
        </w:rPr>
        <w:t>支出，截止2020年12月31日，我单位开支财政拨款的公务用车保有量为</w:t>
      </w:r>
      <w:r>
        <w:rPr>
          <w:rFonts w:hint="eastAsia" w:cs="黑体" w:asciiTheme="minorEastAsia" w:hAnsiTheme="minorEastAsia"/>
          <w:i w:val="0"/>
          <w:iCs w:val="0"/>
          <w:color w:val="000000"/>
          <w:kern w:val="0"/>
          <w:sz w:val="32"/>
          <w:szCs w:val="32"/>
          <w:lang w:val="en-US" w:eastAsia="zh-CN" w:bidi="ar-SA"/>
        </w:rPr>
        <w:t>四</w:t>
      </w:r>
      <w:r>
        <w:rPr>
          <w:rFonts w:hint="eastAsia" w:cs="黑体" w:asciiTheme="minorEastAsia" w:hAnsiTheme="minorEastAsia" w:eastAsiaTheme="minorEastAsia"/>
          <w:i w:val="0"/>
          <w:iCs w:val="0"/>
          <w:color w:val="000000"/>
          <w:kern w:val="0"/>
          <w:sz w:val="32"/>
          <w:szCs w:val="32"/>
          <w:lang w:val="en-US" w:eastAsia="zh-CN" w:bidi="ar-SA"/>
        </w:rPr>
        <w:t>辆。</w:t>
      </w:r>
    </w:p>
    <w:p>
      <w:pPr>
        <w:pStyle w:val="12"/>
        <w:rPr>
          <w:rFonts w:hAnsi="黑体"/>
          <w:b/>
          <w:sz w:val="32"/>
          <w:szCs w:val="32"/>
        </w:rPr>
      </w:pPr>
      <w:r>
        <w:rPr>
          <w:rFonts w:hint="eastAsia" w:hAnsi="黑体"/>
          <w:b/>
          <w:sz w:val="32"/>
          <w:szCs w:val="32"/>
        </w:rPr>
        <w:t>八、政府性基金预算收入支出决算情况</w:t>
      </w:r>
    </w:p>
    <w:p>
      <w:pPr>
        <w:pStyle w:val="12"/>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val="en-US" w:eastAsia="zh-CN"/>
        </w:rPr>
        <w:t>本单位无政府性基金收支</w:t>
      </w:r>
      <w:r>
        <w:rPr>
          <w:rFonts w:hint="eastAsia" w:asciiTheme="minorEastAsia" w:hAnsiTheme="minorEastAsia" w:eastAsiaTheme="minorEastAsia"/>
          <w:sz w:val="32"/>
          <w:szCs w:val="32"/>
        </w:rPr>
        <w:t>。</w:t>
      </w:r>
    </w:p>
    <w:p>
      <w:pPr>
        <w:pStyle w:val="12"/>
        <w:rPr>
          <w:rFonts w:hAnsi="黑体"/>
          <w:b/>
          <w:sz w:val="32"/>
          <w:szCs w:val="32"/>
        </w:rPr>
      </w:pPr>
      <w:r>
        <w:rPr>
          <w:rFonts w:hint="eastAsia" w:hAnsi="黑体"/>
          <w:b/>
          <w:sz w:val="32"/>
          <w:szCs w:val="32"/>
        </w:rPr>
        <w:t>九、关于机关运行经费支出说明</w:t>
      </w:r>
    </w:p>
    <w:p>
      <w:pPr>
        <w:pStyle w:val="12"/>
        <w:ind w:firstLine="640" w:firstLineChars="200"/>
        <w:rPr>
          <w:rFonts w:asciiTheme="minorEastAsia" w:hAnsiTheme="minorEastAsia" w:eastAsiaTheme="minorEastAsia"/>
          <w:i w:val="0"/>
          <w:iCs w:val="0"/>
          <w:sz w:val="32"/>
          <w:szCs w:val="32"/>
        </w:rPr>
      </w:pPr>
      <w:r>
        <w:rPr>
          <w:rFonts w:hint="eastAsia" w:asciiTheme="minorEastAsia" w:hAnsiTheme="minorEastAsia" w:eastAsiaTheme="minorEastAsia"/>
          <w:i w:val="0"/>
          <w:iCs w:val="0"/>
          <w:sz w:val="32"/>
          <w:szCs w:val="32"/>
        </w:rPr>
        <w:t>本部门2020年度</w:t>
      </w:r>
      <w:r>
        <w:rPr>
          <w:rFonts w:hint="eastAsia" w:asciiTheme="minorEastAsia" w:hAnsiTheme="minorEastAsia" w:eastAsiaTheme="minorEastAsia"/>
          <w:i w:val="0"/>
          <w:iCs w:val="0"/>
          <w:sz w:val="32"/>
          <w:szCs w:val="32"/>
          <w:lang w:val="en-US" w:eastAsia="zh-CN"/>
        </w:rPr>
        <w:t>单位</w:t>
      </w:r>
      <w:r>
        <w:rPr>
          <w:rFonts w:hint="eastAsia" w:asciiTheme="minorEastAsia" w:hAnsiTheme="minorEastAsia" w:eastAsiaTheme="minorEastAsia"/>
          <w:i w:val="0"/>
          <w:iCs w:val="0"/>
          <w:sz w:val="32"/>
          <w:szCs w:val="32"/>
        </w:rPr>
        <w:t>运行经费支出</w:t>
      </w:r>
      <w:r>
        <w:rPr>
          <w:rFonts w:hint="eastAsia" w:asciiTheme="minorEastAsia" w:hAnsiTheme="minorEastAsia" w:eastAsiaTheme="minorEastAsia"/>
          <w:i w:val="0"/>
          <w:iCs w:val="0"/>
          <w:sz w:val="32"/>
          <w:szCs w:val="32"/>
          <w:lang w:val="en-US" w:eastAsia="zh-CN"/>
        </w:rPr>
        <w:t>952.08</w:t>
      </w:r>
      <w:r>
        <w:rPr>
          <w:rFonts w:hint="eastAsia" w:asciiTheme="minorEastAsia" w:hAnsiTheme="minorEastAsia" w:eastAsiaTheme="minorEastAsia"/>
          <w:i w:val="0"/>
          <w:iCs w:val="0"/>
          <w:sz w:val="32"/>
          <w:szCs w:val="32"/>
        </w:rPr>
        <w:t>万元，比年初预算数增加</w:t>
      </w:r>
      <w:r>
        <w:rPr>
          <w:rFonts w:hint="eastAsia" w:asciiTheme="minorEastAsia" w:hAnsiTheme="minorEastAsia" w:eastAsiaTheme="minorEastAsia"/>
          <w:i w:val="0"/>
          <w:iCs w:val="0"/>
          <w:sz w:val="32"/>
          <w:szCs w:val="32"/>
          <w:lang w:val="en-US" w:eastAsia="zh-CN"/>
        </w:rPr>
        <w:t>907.47</w:t>
      </w:r>
      <w:r>
        <w:rPr>
          <w:rFonts w:hint="eastAsia" w:asciiTheme="minorEastAsia" w:hAnsiTheme="minorEastAsia" w:eastAsiaTheme="minorEastAsia"/>
          <w:i w:val="0"/>
          <w:iCs w:val="0"/>
          <w:sz w:val="32"/>
          <w:szCs w:val="32"/>
        </w:rPr>
        <w:t xml:space="preserve"> 万元</w:t>
      </w:r>
      <w:r>
        <w:rPr>
          <w:rFonts w:hint="eastAsia" w:asciiTheme="minorEastAsia" w:hAnsiTheme="minorEastAsia" w:eastAsiaTheme="minorEastAsia"/>
          <w:i w:val="0"/>
          <w:iCs w:val="0"/>
          <w:sz w:val="32"/>
          <w:szCs w:val="32"/>
          <w:lang w:eastAsia="zh-CN"/>
        </w:rPr>
        <w:t>，</w:t>
      </w:r>
      <w:r>
        <w:rPr>
          <w:rFonts w:hint="eastAsia" w:asciiTheme="minorEastAsia" w:hAnsiTheme="minorEastAsia" w:eastAsiaTheme="minorEastAsia"/>
          <w:i w:val="0"/>
          <w:iCs w:val="0"/>
          <w:sz w:val="32"/>
          <w:szCs w:val="32"/>
          <w:lang w:val="en-US" w:eastAsia="zh-CN"/>
        </w:rPr>
        <w:t>增长2034.23%。</w:t>
      </w:r>
      <w:r>
        <w:rPr>
          <w:rFonts w:hint="eastAsia" w:asciiTheme="minorEastAsia" w:hAnsiTheme="minorEastAsia" w:eastAsiaTheme="minorEastAsia"/>
          <w:i w:val="0"/>
          <w:iCs w:val="0"/>
          <w:sz w:val="32"/>
          <w:szCs w:val="32"/>
        </w:rPr>
        <w:t>主要原因是：</w:t>
      </w:r>
      <w:r>
        <w:rPr>
          <w:rFonts w:hint="eastAsia" w:asciiTheme="minorEastAsia" w:hAnsiTheme="minorEastAsia" w:eastAsiaTheme="minorEastAsia"/>
          <w:i w:val="0"/>
          <w:iCs w:val="0"/>
          <w:sz w:val="32"/>
          <w:szCs w:val="32"/>
          <w:lang w:val="en-US" w:eastAsia="zh-CN"/>
        </w:rPr>
        <w:t>年初预算单位运行经费只安排了工会经费和公务用车运行维护费支出，年中追加预算后，再安排了</w:t>
      </w:r>
      <w:r>
        <w:rPr>
          <w:rFonts w:hint="eastAsia" w:asciiTheme="minorEastAsia" w:hAnsiTheme="minorEastAsia" w:eastAsiaTheme="minorEastAsia"/>
          <w:sz w:val="32"/>
          <w:szCs w:val="32"/>
        </w:rPr>
        <w:t>办公费、咨询费、手续费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水费、电费、物业管理费、委托业务费、其他商品和服务支出</w:t>
      </w:r>
      <w:r>
        <w:rPr>
          <w:rFonts w:hint="eastAsia" w:asciiTheme="minorEastAsia" w:hAnsiTheme="minorEastAsia" w:eastAsiaTheme="minorEastAsia"/>
          <w:i w:val="0"/>
          <w:iCs w:val="0"/>
          <w:sz w:val="32"/>
          <w:szCs w:val="32"/>
        </w:rPr>
        <w:t>。</w:t>
      </w:r>
    </w:p>
    <w:p>
      <w:pPr>
        <w:pStyle w:val="12"/>
        <w:rPr>
          <w:rFonts w:hAnsi="黑体"/>
          <w:b/>
          <w:sz w:val="32"/>
          <w:szCs w:val="32"/>
        </w:rPr>
      </w:pPr>
      <w:r>
        <w:rPr>
          <w:rFonts w:hint="eastAsia" w:hAnsi="黑体"/>
          <w:b/>
          <w:sz w:val="32"/>
          <w:szCs w:val="32"/>
        </w:rPr>
        <w:t>十、一般性支出情况</w:t>
      </w:r>
    </w:p>
    <w:p>
      <w:pPr>
        <w:pStyle w:val="12"/>
        <w:ind w:firstLine="640" w:firstLineChars="200"/>
        <w:rPr>
          <w:rFonts w:hint="default" w:asciiTheme="minorEastAsia" w:hAnsiTheme="minorEastAsia" w:eastAsiaTheme="minorEastAsia"/>
          <w:i w:val="0"/>
          <w:iCs w:val="0"/>
          <w:sz w:val="32"/>
          <w:szCs w:val="32"/>
          <w:lang w:val="en-US" w:eastAsia="zh-CN"/>
        </w:rPr>
      </w:pPr>
      <w:r>
        <w:rPr>
          <w:rFonts w:hint="eastAsia" w:asciiTheme="minorEastAsia" w:hAnsiTheme="minorEastAsia" w:eastAsiaTheme="minorEastAsia"/>
          <w:i w:val="0"/>
          <w:iCs w:val="0"/>
          <w:sz w:val="32"/>
          <w:szCs w:val="32"/>
        </w:rPr>
        <w:t>2020年本部门</w:t>
      </w:r>
      <w:r>
        <w:rPr>
          <w:rFonts w:hint="eastAsia" w:asciiTheme="minorEastAsia" w:hAnsiTheme="minorEastAsia" w:eastAsiaTheme="minorEastAsia"/>
          <w:i w:val="0"/>
          <w:iCs w:val="0"/>
          <w:sz w:val="32"/>
          <w:szCs w:val="32"/>
          <w:lang w:val="en-US" w:eastAsia="zh-CN"/>
        </w:rPr>
        <w:t>开支</w:t>
      </w:r>
      <w:r>
        <w:rPr>
          <w:rFonts w:hint="eastAsia" w:asciiTheme="minorEastAsia" w:hAnsiTheme="minorEastAsia" w:eastAsiaTheme="minorEastAsia"/>
          <w:i w:val="0"/>
          <w:iCs w:val="0"/>
          <w:sz w:val="32"/>
          <w:szCs w:val="32"/>
        </w:rPr>
        <w:t>会议费</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万元</w:t>
      </w:r>
      <w:r>
        <w:rPr>
          <w:rFonts w:hint="eastAsia" w:asciiTheme="minorEastAsia" w:hAnsiTheme="minorEastAsia" w:eastAsiaTheme="minorEastAsia"/>
          <w:i w:val="0"/>
          <w:iCs w:val="0"/>
          <w:sz w:val="32"/>
          <w:szCs w:val="32"/>
          <w:lang w:eastAsia="zh-CN"/>
        </w:rPr>
        <w:t>，</w:t>
      </w:r>
      <w:r>
        <w:rPr>
          <w:rFonts w:hint="eastAsia" w:asciiTheme="minorEastAsia" w:hAnsiTheme="minorEastAsia" w:eastAsiaTheme="minorEastAsia"/>
          <w:i w:val="0"/>
          <w:iCs w:val="0"/>
          <w:sz w:val="32"/>
          <w:szCs w:val="32"/>
        </w:rPr>
        <w:t>开支培训</w:t>
      </w:r>
      <w:r>
        <w:rPr>
          <w:rFonts w:hint="eastAsia" w:asciiTheme="minorEastAsia" w:hAnsiTheme="minorEastAsia" w:eastAsiaTheme="minorEastAsia"/>
          <w:i w:val="0"/>
          <w:iCs w:val="0"/>
          <w:sz w:val="32"/>
          <w:szCs w:val="32"/>
          <w:lang w:val="en-US" w:eastAsia="zh-CN"/>
        </w:rPr>
        <w:t>活动</w:t>
      </w:r>
      <w:r>
        <w:rPr>
          <w:rFonts w:hint="eastAsia" w:asciiTheme="minorEastAsia" w:hAnsiTheme="minorEastAsia" w:eastAsiaTheme="minorEastAsia"/>
          <w:i w:val="0"/>
          <w:iCs w:val="0"/>
          <w:sz w:val="32"/>
          <w:szCs w:val="32"/>
        </w:rPr>
        <w:t>费</w:t>
      </w:r>
      <w:r>
        <w:rPr>
          <w:rFonts w:hint="eastAsia" w:asciiTheme="minorEastAsia" w:hAnsiTheme="minorEastAsia" w:eastAsiaTheme="minorEastAsia"/>
          <w:i w:val="0"/>
          <w:iCs w:val="0"/>
          <w:sz w:val="32"/>
          <w:szCs w:val="32"/>
          <w:lang w:val="en-US" w:eastAsia="zh-CN"/>
        </w:rPr>
        <w:t>0</w:t>
      </w:r>
      <w:r>
        <w:rPr>
          <w:rFonts w:hint="eastAsia" w:asciiTheme="minorEastAsia" w:hAnsiTheme="minorEastAsia" w:eastAsiaTheme="minorEastAsia"/>
          <w:i w:val="0"/>
          <w:iCs w:val="0"/>
          <w:sz w:val="32"/>
          <w:szCs w:val="32"/>
        </w:rPr>
        <w:t>万元</w:t>
      </w:r>
      <w:r>
        <w:rPr>
          <w:rFonts w:hint="eastAsia" w:asciiTheme="minorEastAsia" w:hAnsiTheme="minorEastAsia" w:eastAsiaTheme="minorEastAsia"/>
          <w:i w:val="0"/>
          <w:iCs w:val="0"/>
          <w:sz w:val="32"/>
          <w:szCs w:val="32"/>
          <w:lang w:eastAsia="zh-CN"/>
        </w:rPr>
        <w:t>，</w:t>
      </w:r>
      <w:r>
        <w:rPr>
          <w:rFonts w:hint="eastAsia" w:asciiTheme="minorEastAsia" w:hAnsiTheme="minorEastAsia" w:eastAsiaTheme="minorEastAsia"/>
          <w:i w:val="0"/>
          <w:iCs w:val="0"/>
          <w:sz w:val="32"/>
          <w:szCs w:val="32"/>
          <w:lang w:val="en-US" w:eastAsia="zh-CN"/>
        </w:rPr>
        <w:t>无节庆、晚会、论坛、赛事等活动经费开支。</w:t>
      </w:r>
    </w:p>
    <w:p>
      <w:pPr>
        <w:pStyle w:val="12"/>
        <w:rPr>
          <w:rFonts w:hAnsi="黑体"/>
          <w:b/>
          <w:sz w:val="32"/>
          <w:szCs w:val="32"/>
        </w:rPr>
      </w:pPr>
      <w:r>
        <w:rPr>
          <w:rFonts w:hint="eastAsia" w:hAnsi="黑体"/>
          <w:b/>
          <w:sz w:val="32"/>
          <w:szCs w:val="32"/>
        </w:rPr>
        <w:t>十一、关于政府采购支出说明</w:t>
      </w:r>
    </w:p>
    <w:p>
      <w:pPr>
        <w:pStyle w:val="12"/>
        <w:ind w:firstLine="640" w:firstLineChars="200"/>
        <w:rPr>
          <w:rFonts w:hint="eastAsia" w:asciiTheme="minorEastAsia" w:hAnsiTheme="minorEastAsia" w:eastAsiaTheme="minorEastAsia"/>
          <w:i w:val="0"/>
          <w:iCs/>
          <w:sz w:val="32"/>
          <w:szCs w:val="32"/>
          <w:lang w:eastAsia="zh-CN"/>
        </w:rPr>
      </w:pPr>
      <w:r>
        <w:rPr>
          <w:rFonts w:hint="eastAsia" w:asciiTheme="minorEastAsia" w:hAnsiTheme="minorEastAsia" w:eastAsiaTheme="minorEastAsia"/>
          <w:sz w:val="32"/>
          <w:szCs w:val="32"/>
        </w:rPr>
        <w:t>本部门2020年度</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政府采购支出</w:t>
      </w:r>
      <w:r>
        <w:rPr>
          <w:rFonts w:hint="eastAsia" w:asciiTheme="minorEastAsia" w:hAnsiTheme="minorEastAsia" w:eastAsiaTheme="minorEastAsia"/>
          <w:sz w:val="32"/>
          <w:szCs w:val="32"/>
          <w:lang w:eastAsia="zh-CN"/>
        </w:rPr>
        <w:t>。</w:t>
      </w:r>
    </w:p>
    <w:p>
      <w:pPr>
        <w:pStyle w:val="12"/>
        <w:rPr>
          <w:rFonts w:hAnsi="黑体"/>
          <w:b/>
          <w:sz w:val="32"/>
          <w:szCs w:val="32"/>
        </w:rPr>
      </w:pPr>
      <w:r>
        <w:rPr>
          <w:rFonts w:hint="eastAsia" w:hAnsi="黑体"/>
          <w:b/>
          <w:sz w:val="32"/>
          <w:szCs w:val="32"/>
        </w:rPr>
        <w:t>十二、关于国有资产占用情况说明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val="en-US" w:eastAsia="zh-CN"/>
        </w:rPr>
        <w:t>单位日常业务用车</w:t>
      </w:r>
      <w:r>
        <w:rPr>
          <w:rFonts w:hint="eastAsia" w:asciiTheme="minorEastAsia" w:hAnsiTheme="minorEastAsia" w:eastAsiaTheme="minorEastAsia"/>
          <w:sz w:val="32"/>
          <w:szCs w:val="32"/>
        </w:rPr>
        <w:t>；单位</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价值50万元以上通用设备</w:t>
      </w:r>
      <w:r>
        <w:rPr>
          <w:rFonts w:hint="eastAsia" w:asciiTheme="minorEastAsia" w:hAnsiTheme="minorEastAsia" w:eastAsiaTheme="minorEastAsia"/>
          <w:sz w:val="32"/>
          <w:szCs w:val="32"/>
          <w:lang w:val="en-US" w:eastAsia="zh-CN"/>
        </w:rPr>
        <w:t>及</w:t>
      </w:r>
      <w:r>
        <w:rPr>
          <w:rFonts w:hint="eastAsia" w:asciiTheme="minorEastAsia" w:hAnsiTheme="minorEastAsia" w:eastAsiaTheme="minorEastAsia"/>
          <w:sz w:val="32"/>
          <w:szCs w:val="32"/>
        </w:rPr>
        <w:t>单位价值100万元以上专用设备。</w:t>
      </w:r>
    </w:p>
    <w:p>
      <w:pPr>
        <w:pStyle w:val="12"/>
        <w:rPr>
          <w:rFonts w:hAnsi="黑体"/>
          <w:b/>
          <w:sz w:val="32"/>
          <w:szCs w:val="32"/>
        </w:rPr>
      </w:pPr>
      <w:r>
        <w:rPr>
          <w:rFonts w:hint="eastAsia" w:hAnsi="黑体"/>
          <w:b/>
          <w:sz w:val="32"/>
          <w:szCs w:val="32"/>
        </w:rPr>
        <w:t>十三、关于2020年度预算绩效情况的说明</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202</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年度本</w:t>
      </w:r>
      <w:r>
        <w:rPr>
          <w:rFonts w:hint="eastAsia" w:asciiTheme="minorEastAsia" w:hAnsiTheme="minorEastAsia" w:eastAsiaTheme="minorEastAsia"/>
          <w:sz w:val="32"/>
          <w:szCs w:val="32"/>
          <w:lang w:eastAsia="zh-CN"/>
        </w:rPr>
        <w:t>部门</w:t>
      </w:r>
      <w:r>
        <w:rPr>
          <w:rFonts w:hint="eastAsia" w:asciiTheme="minorEastAsia" w:hAnsiTheme="minorEastAsia" w:eastAsiaTheme="minorEastAsia"/>
          <w:sz w:val="32"/>
          <w:szCs w:val="32"/>
        </w:rPr>
        <w:t>无重点项目</w:t>
      </w:r>
      <w:r>
        <w:rPr>
          <w:rFonts w:hint="eastAsia" w:asciiTheme="minorEastAsia" w:hAnsiTheme="minorEastAsia" w:eastAsiaTheme="minorEastAsia"/>
          <w:sz w:val="32"/>
          <w:szCs w:val="32"/>
          <w:lang w:val="en-US" w:eastAsia="zh-CN"/>
        </w:rPr>
        <w:t>,因此无重点项目预算的绩效目标</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但本部门整体支出和项目支出实行绩效目标管理，纳入</w:t>
      </w:r>
      <w:r>
        <w:rPr>
          <w:rFonts w:hint="eastAsia" w:asciiTheme="minorEastAsia" w:hAnsiTheme="minorEastAsia" w:eastAsiaTheme="minorEastAsia"/>
          <w:sz w:val="32"/>
          <w:szCs w:val="32"/>
          <w:lang w:val="en-US" w:eastAsia="zh-CN"/>
        </w:rPr>
        <w:t xml:space="preserve">2020年部门整体支出绩效的金额为7666.99万元，其中，基本支出7122.22万元，项目支出544.77万元。  </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val="en-US" w:eastAsia="zh-CN"/>
        </w:rPr>
        <w:t>绩效报告详见附件。</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both"/>
        <w:rPr>
          <w:sz w:val="72"/>
          <w:szCs w:val="72"/>
        </w:rPr>
      </w:pPr>
    </w:p>
    <w:p>
      <w:pPr>
        <w:pStyle w:val="12"/>
        <w:jc w:val="both"/>
        <w:rPr>
          <w:sz w:val="72"/>
          <w:szCs w:val="72"/>
        </w:rPr>
      </w:pPr>
    </w:p>
    <w:p>
      <w:pPr>
        <w:pStyle w:val="12"/>
        <w:jc w:val="both"/>
        <w:rPr>
          <w:sz w:val="72"/>
          <w:szCs w:val="72"/>
        </w:rPr>
      </w:pPr>
    </w:p>
    <w:p>
      <w:pPr>
        <w:pStyle w:val="12"/>
        <w:jc w:val="both"/>
        <w:rPr>
          <w:sz w:val="72"/>
          <w:szCs w:val="72"/>
        </w:rPr>
      </w:pPr>
    </w:p>
    <w:p>
      <w:pPr>
        <w:pStyle w:val="12"/>
        <w:jc w:val="both"/>
        <w:rPr>
          <w:sz w:val="72"/>
          <w:szCs w:val="72"/>
        </w:rPr>
      </w:pPr>
    </w:p>
    <w:p>
      <w:pPr>
        <w:pStyle w:val="12"/>
        <w:jc w:val="both"/>
        <w:rPr>
          <w:sz w:val="72"/>
          <w:szCs w:val="72"/>
        </w:rPr>
      </w:pPr>
    </w:p>
    <w:p>
      <w:pPr>
        <w:pStyle w:val="12"/>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cs="黑体" w:asciiTheme="minorEastAsia" w:hAnsiTheme="minorEastAsia"/>
          <w:color w:val="000000"/>
          <w:kern w:val="0"/>
          <w:sz w:val="32"/>
          <w:szCs w:val="32"/>
        </w:rPr>
      </w:pPr>
      <w:r>
        <w:rPr>
          <w:rFonts w:ascii="黑体" w:eastAsia="黑体" w:cs="黑体"/>
          <w:color w:val="000000"/>
          <w:kern w:val="0"/>
          <w:sz w:val="70"/>
          <w:szCs w:val="70"/>
        </w:rPr>
        <w:br w:type="page"/>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一、财政拨款收入：指财政当年拨付的资金。包括一般公共预算财政拨款和政府性基金预算财政拨款。</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二、上级补助收入：指事业单位从主管部门和上级单位取得的非财政补助收入。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三、事业收入：指事业单位开展专业业务活动及辅助活动所取得的收入。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四、经营收入：指事业单位在专业业务活动及其辅助活动之外开展非独立核算经营活动取得的收入。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五、附属单位上缴收入：指事业单位附属独立核算单位按照有关规定上缴的收入。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六、其他收入：指除上述“财政拨款收入”、“事业收入”、“经营收入”等以外的收入。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七、基本支出：指为保障机构正常运转、完成日常工作任务而发生的各项支出，包括人员支出和公用支出。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八、项目支出：指在基本支出以外为完成相关行政任务和事业发展目标所发生的各项支出。  </w:t>
      </w:r>
    </w:p>
    <w:p>
      <w:pPr>
        <w:widowControl/>
        <w:shd w:val="clear" w:color="auto" w:fill="FFFFFF"/>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九、“三公”经费：指通过财政拨款资金安排的因公出国（境）费、公务用车购置及运行费和公务接待费支出。  </w:t>
      </w:r>
    </w:p>
    <w:p>
      <w:pPr>
        <w:widowControl/>
        <w:shd w:val="clear" w:color="auto" w:fill="FFFFFF"/>
        <w:ind w:firstLine="640" w:firstLineChars="200"/>
        <w:jc w:val="left"/>
        <w:rPr>
          <w:sz w:val="72"/>
          <w:szCs w:val="72"/>
        </w:rPr>
      </w:pPr>
      <w:r>
        <w:rPr>
          <w:rFonts w:hint="eastAsia" w:ascii="仿宋_GB2312" w:hAnsi="仿宋_GB2312" w:eastAsia="仿宋_GB2312" w:cs="仿宋_GB2312"/>
          <w:color w:val="auto"/>
          <w:kern w:val="2"/>
          <w:sz w:val="32"/>
          <w:szCs w:val="32"/>
          <w:lang w:val="en-US" w:eastAsia="zh-CN" w:bidi="ar-SA"/>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720" w:firstLineChars="200"/>
        <w:jc w:val="center"/>
        <w:rPr>
          <w:rFonts w:hint="eastAsia" w:cs="黑体" w:asciiTheme="minorEastAsia" w:hAnsiTheme="minorEastAsia"/>
          <w:b/>
          <w:color w:val="000000"/>
          <w:kern w:val="0"/>
          <w:sz w:val="36"/>
          <w:szCs w:val="36"/>
        </w:rPr>
      </w:pPr>
      <w:r>
        <w:rPr>
          <w:rFonts w:hint="eastAsia" w:cs="黑体" w:asciiTheme="minorEastAsia" w:hAnsiTheme="minorEastAsia"/>
          <w:b/>
          <w:color w:val="000000"/>
          <w:kern w:val="0"/>
          <w:sz w:val="36"/>
          <w:szCs w:val="36"/>
        </w:rPr>
        <w:t>2020年度部门整体支出绩效评价报告</w:t>
      </w:r>
    </w:p>
    <w:p>
      <w:pPr>
        <w:pStyle w:val="2"/>
      </w:pP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为加强财政支出管理，提高财政资金使用效益，</w:t>
      </w:r>
      <w:r>
        <w:rPr>
          <w:rFonts w:hint="eastAsia" w:ascii="宋体" w:hAnsi="宋体" w:eastAsia="宋体" w:cs="宋体"/>
          <w:sz w:val="32"/>
          <w:szCs w:val="32"/>
          <w:lang w:eastAsia="zh-CN"/>
        </w:rPr>
        <w:t>按照</w:t>
      </w:r>
      <w:r>
        <w:rPr>
          <w:rFonts w:hint="eastAsia" w:ascii="宋体" w:hAnsi="宋体" w:eastAsia="宋体" w:cs="宋体"/>
          <w:sz w:val="32"/>
          <w:szCs w:val="32"/>
          <w:lang w:val="en-US" w:eastAsia="zh-CN"/>
        </w:rPr>
        <w:t>市财政局相关</w:t>
      </w:r>
      <w:r>
        <w:rPr>
          <w:rFonts w:hint="eastAsia" w:ascii="宋体" w:hAnsi="宋体" w:eastAsia="宋体" w:cs="宋体"/>
          <w:sz w:val="32"/>
          <w:szCs w:val="32"/>
        </w:rPr>
        <w:t>文件精神，我</w:t>
      </w:r>
      <w:r>
        <w:rPr>
          <w:rFonts w:hint="eastAsia" w:ascii="宋体" w:hAnsi="宋体" w:eastAsia="宋体" w:cs="宋体"/>
          <w:sz w:val="32"/>
          <w:szCs w:val="32"/>
          <w:lang w:eastAsia="zh-CN"/>
        </w:rPr>
        <w:t>单位</w:t>
      </w:r>
      <w:r>
        <w:rPr>
          <w:rFonts w:hint="eastAsia" w:ascii="宋体" w:hAnsi="宋体" w:eastAsia="宋体" w:cs="宋体"/>
          <w:sz w:val="32"/>
          <w:szCs w:val="32"/>
        </w:rPr>
        <w:t>对20</w:t>
      </w:r>
      <w:r>
        <w:rPr>
          <w:rFonts w:hint="eastAsia" w:ascii="宋体" w:hAnsi="宋体" w:eastAsia="宋体" w:cs="宋体"/>
          <w:sz w:val="32"/>
          <w:szCs w:val="32"/>
          <w:lang w:val="en-US" w:eastAsia="zh-CN"/>
        </w:rPr>
        <w:t>20</w:t>
      </w:r>
      <w:r>
        <w:rPr>
          <w:rFonts w:hint="eastAsia" w:ascii="宋体" w:hAnsi="宋体" w:eastAsia="宋体" w:cs="宋体"/>
          <w:sz w:val="32"/>
          <w:szCs w:val="32"/>
        </w:rPr>
        <w:t>年部门整体支出进行绩效评价。我</w:t>
      </w:r>
      <w:r>
        <w:rPr>
          <w:rFonts w:hint="eastAsia" w:ascii="宋体" w:hAnsi="宋体" w:eastAsia="宋体" w:cs="宋体"/>
          <w:sz w:val="32"/>
          <w:szCs w:val="32"/>
          <w:lang w:eastAsia="zh-CN"/>
        </w:rPr>
        <w:t>单位</w:t>
      </w:r>
      <w:r>
        <w:rPr>
          <w:rFonts w:hint="eastAsia" w:ascii="宋体" w:hAnsi="宋体" w:eastAsia="宋体" w:cs="宋体"/>
          <w:sz w:val="32"/>
          <w:szCs w:val="32"/>
        </w:rPr>
        <w:t>自评得分</w:t>
      </w:r>
      <w:r>
        <w:rPr>
          <w:rFonts w:hint="eastAsia" w:ascii="宋体" w:hAnsi="宋体" w:eastAsia="宋体" w:cs="宋体"/>
          <w:sz w:val="32"/>
          <w:szCs w:val="32"/>
          <w:lang w:val="en-US" w:eastAsia="zh-CN"/>
        </w:rPr>
        <w:t>91</w:t>
      </w:r>
      <w:r>
        <w:rPr>
          <w:rFonts w:hint="eastAsia" w:ascii="宋体" w:hAnsi="宋体" w:eastAsia="宋体" w:cs="宋体"/>
          <w:sz w:val="32"/>
          <w:szCs w:val="32"/>
        </w:rPr>
        <w:t>分，绩效等级优。现将</w:t>
      </w:r>
      <w:r>
        <w:rPr>
          <w:rFonts w:hint="eastAsia" w:ascii="宋体" w:hAnsi="宋体" w:eastAsia="宋体" w:cs="宋体"/>
          <w:sz w:val="32"/>
          <w:szCs w:val="32"/>
          <w:lang w:val="en-US" w:eastAsia="zh-CN"/>
        </w:rPr>
        <w:t>2020</w:t>
      </w:r>
      <w:r>
        <w:rPr>
          <w:rFonts w:hint="eastAsia" w:ascii="宋体" w:hAnsi="宋体" w:eastAsia="宋体" w:cs="宋体"/>
          <w:sz w:val="32"/>
          <w:szCs w:val="32"/>
        </w:rPr>
        <w:t>年部门整体支出评价情况报告如下。</w:t>
      </w:r>
    </w:p>
    <w:p>
      <w:pPr>
        <w:keepNext w:val="0"/>
        <w:keepLines w:val="0"/>
        <w:pageBreakBefore w:val="0"/>
        <w:numPr>
          <w:ilvl w:val="0"/>
          <w:numId w:val="4"/>
        </w:numPr>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部门概况</w:t>
      </w:r>
    </w:p>
    <w:p>
      <w:pPr>
        <w:keepNext w:val="0"/>
        <w:keepLines w:val="0"/>
        <w:pageBreakBefore w:val="0"/>
        <w:numPr>
          <w:ilvl w:val="0"/>
          <w:numId w:val="5"/>
        </w:numPr>
        <w:kinsoku/>
        <w:wordWrap/>
        <w:overflowPunct/>
        <w:topLinePunct w:val="0"/>
        <w:autoSpaceDE/>
        <w:autoSpaceDN/>
        <w:bidi w:val="0"/>
        <w:adjustRightInd/>
        <w:snapToGrid/>
        <w:spacing w:line="360" w:lineRule="auto"/>
        <w:ind w:left="0" w:leftChars="0" w:right="0" w:rightChars="0" w:firstLine="48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主要工作职能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永州师范高等专科学校秉承“学高为师，身正为范”的校训，立足永州、面向全省、辐射周边省市，培养德智体美劳全面发展、“一专多能”、服务基础教育和经济社会发展的高素质人才。</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宋体" w:hAnsi="宋体" w:eastAsia="宋体" w:cs="宋体"/>
          <w:sz w:val="32"/>
          <w:szCs w:val="32"/>
        </w:rPr>
      </w:pPr>
      <w:r>
        <w:rPr>
          <w:rFonts w:hint="eastAsia" w:ascii="宋体" w:hAnsi="宋体" w:eastAsia="宋体" w:cs="宋体"/>
          <w:sz w:val="32"/>
          <w:szCs w:val="32"/>
        </w:rPr>
        <w:t> </w:t>
      </w:r>
      <w:r>
        <w:rPr>
          <w:rFonts w:hint="eastAsia" w:ascii="宋体" w:hAnsi="宋体" w:eastAsia="宋体" w:cs="宋体"/>
          <w:b/>
          <w:bCs/>
          <w:sz w:val="32"/>
          <w:szCs w:val="32"/>
        </w:rPr>
        <w:t>（</w:t>
      </w:r>
      <w:r>
        <w:rPr>
          <w:rFonts w:hint="eastAsia" w:ascii="宋体" w:hAnsi="宋体" w:eastAsia="宋体" w:cs="宋体"/>
          <w:b/>
          <w:bCs/>
          <w:sz w:val="32"/>
          <w:szCs w:val="32"/>
          <w:lang w:eastAsia="zh-CN"/>
        </w:rPr>
        <w:t>二</w:t>
      </w:r>
      <w:r>
        <w:rPr>
          <w:rFonts w:hint="eastAsia" w:ascii="宋体" w:hAnsi="宋体" w:eastAsia="宋体" w:cs="宋体"/>
          <w:b/>
          <w:bCs/>
          <w:sz w:val="32"/>
          <w:szCs w:val="32"/>
        </w:rPr>
        <w:t>）</w:t>
      </w:r>
      <w:r>
        <w:rPr>
          <w:rFonts w:hint="eastAsia" w:ascii="宋体" w:hAnsi="宋体" w:eastAsia="宋体" w:cs="宋体"/>
          <w:b/>
          <w:bCs/>
          <w:sz w:val="32"/>
          <w:szCs w:val="32"/>
          <w:lang w:eastAsia="zh-CN"/>
        </w:rPr>
        <w:t>机构设置、人员情况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永州师范高等专科学校属全额拨款事业单位，编制人数为450人，在职在编人员263人、退休人员 100人。学校设置党政办、组织人事处、宣传统战办、纪检监督审计处、教务处、科研处、学生处、计划财务校产处、后勤基建处、招生就业处、督导室、安保法制处、继续教育部、工会、团委等中层职能部门。</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80"/>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（三）</w:t>
      </w:r>
      <w:r>
        <w:rPr>
          <w:rFonts w:hint="eastAsia" w:ascii="宋体" w:hAnsi="宋体" w:eastAsia="宋体" w:cs="宋体"/>
          <w:b/>
          <w:bCs/>
          <w:sz w:val="32"/>
          <w:szCs w:val="32"/>
          <w:lang w:val="en-US" w:eastAsia="zh-CN"/>
        </w:rPr>
        <w:t>2020年主要工作任务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学校在省、市委政府和省、市教育厅局的高度重视和全力支持下，全面实施“五个确保”。一是确保了学校正式挂牌。2020年3月经湖南省人民政府批准并报教育部备案，5月正式进入高校办学序列，取得高校办学资格，正式挂牌办学。二确保了专业申报成功。2020年完成了小学教育、学前教育、语文教育、音乐教育、美术教育五个专科层次师范专业在教育部的审批备案，取得了专业招生代码；完成了艺术设计、音乐表演两个专科层次非师范专业在省教育厅的审批备案。三是确保了纳入高校招生。2020年秋季，学校取得了高中起点三年制全日制大专招生计划1000人，实际到校人数946人，到校率94.6%；初中起点五年制全日制大专招生计划705人，实际到校人数705人，到校率100%。四是上报了机构编制报批。根据高校机构编制和学校内议机构设置情况，向市编委提出了学校机构编制申请，并报省编委审批。五是加快了场馆后续建设。学校办学设施设备正常投入使用，运动场、体育馆、实验剧院等场馆即将交付使用。</w:t>
      </w:r>
    </w:p>
    <w:p>
      <w:pPr>
        <w:keepNext w:val="0"/>
        <w:keepLines w:val="0"/>
        <w:pageBreakBefore w:val="0"/>
        <w:kinsoku/>
        <w:wordWrap/>
        <w:overflowPunct/>
        <w:topLinePunct w:val="0"/>
        <w:autoSpaceDE/>
        <w:autoSpaceDN/>
        <w:bidi w:val="0"/>
        <w:adjustRightInd/>
        <w:snapToGrid/>
        <w:spacing w:line="360" w:lineRule="auto"/>
        <w:ind w:right="0" w:rightChars="0" w:firstLine="640" w:firstLineChars="200"/>
        <w:textAlignment w:val="auto"/>
        <w:rPr>
          <w:rFonts w:hint="eastAsia" w:ascii="宋体" w:hAnsi="宋体" w:eastAsia="宋体" w:cs="宋体"/>
          <w:sz w:val="32"/>
          <w:szCs w:val="32"/>
          <w:lang w:val="en-US" w:eastAsia="zh-CN"/>
        </w:rPr>
      </w:pPr>
      <w:r>
        <w:rPr>
          <w:rFonts w:hint="eastAsia" w:ascii="黑体" w:hAnsi="黑体" w:eastAsia="黑体" w:cs="黑体"/>
          <w:sz w:val="32"/>
          <w:szCs w:val="32"/>
          <w:lang w:val="en-US" w:eastAsia="zh-CN"/>
        </w:rPr>
        <w:t>二、部门整体支出使用情况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2020年部门整体支出预算7666.99万元，其中，基本支出7122.22万元，项目支出544.77万元。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基本支出7122.22万元，包括人员支出3954.61万元，其中基本工资1095.39万元、津贴补贴71.31万元、奖金934.57万元、伙食补助91.92万元、绩效工资1398.52万元、基本养老保险缴费237.46万元、基本医疗保险缴费94.56万元、其他社会保障缴费4.53万元、抚恤金5.72万元、助学金20.63万元。公用支出3167.61万元，其中办公费72.23万元、印刷费62.76万元、咨询费0.15万元、手续费0.08万元、水费116.78万元、电费170.18万元、邮电费21.76万元、物业管理费197.11万元、差旅费98.27万元、维修（护）费574.59万元、租赁费10.06万元、培训费26.16万元、专用材料费341.59万元、专用燃料费433.84万元、劳务费214.63万元、委托业务费491.13万元、工会经费19.57万元、公务用车运行维护费11.17万元、其他交通费用3.91万元、其他商品和服务支出301.63万元。项目支出544.77万元，包括市级定向师范生免学费配套补助254.43万元、市属学校基本建设及维修改造248万元、教师节慰问金19.84万元、专科国家助学金13.73万元、一次性抚恤8.77万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三公经费支出预算12万元，其中：公务用车运行维护费12万元。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三、部门整体支出管理情况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lang w:val="en-US" w:eastAsia="zh-CN"/>
        </w:rPr>
      </w:pPr>
      <w:r>
        <w:rPr>
          <w:rFonts w:hint="eastAsia" w:ascii="宋体" w:hAnsi="宋体" w:eastAsia="宋体" w:cs="宋体"/>
          <w:sz w:val="32"/>
          <w:szCs w:val="32"/>
          <w:lang w:val="en-US" w:eastAsia="zh-CN"/>
        </w:rPr>
        <w:t>我校财务支出管理严格依法依规依程序，努力做到公开公平公正。在严格执行国家财政法规的同时，结合本校实际情况制定了《永州师范高等专科学校财务管理制度》、《永州师范高等专科学校专项资金管理制度》、《永州师范高等专科学校预算管理制度》、《永州师范高等专科学校内部控制制度》，明确了经费审批权限及程序，经费预算管理、财务监督，开展公用经费使用监督和绩效评估，进一步落实厉行节约的各项规定，确保“三公经费”使用合理合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四、指标表效益指标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（一）产出指标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数量指标：2020年学校整体支出7666.99万元；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质量指标：充分运用财政资金，改善办学条件，保障教育教学正常运转，培养优秀的的全科型专科层次小学教师；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时效指标：2020年全年；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成本指标：无。</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（二）效益指标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经济效益指标：改善学校办学条件，保障教育教学正常运转；</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社会效益指标：提升我市小学教师教育水平和综合水平；</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可持续影响指标：持续提高小学教师教育水平；</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社会满意程度：98%。</w:t>
      </w:r>
    </w:p>
    <w:p>
      <w:pPr>
        <w:keepNext w:val="0"/>
        <w:keepLines w:val="0"/>
        <w:pageBreakBefore w:val="0"/>
        <w:numPr>
          <w:ilvl w:val="0"/>
          <w:numId w:val="0"/>
        </w:numPr>
        <w:kinsoku/>
        <w:wordWrap/>
        <w:overflowPunct/>
        <w:topLinePunct w:val="0"/>
        <w:autoSpaceDE/>
        <w:autoSpaceDN/>
        <w:bidi w:val="0"/>
        <w:adjustRightInd/>
        <w:snapToGrid/>
        <w:spacing w:line="360" w:lineRule="auto"/>
        <w:ind w:left="560" w:leftChars="0" w:right="0" w:righ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1.预算编制不够科学合理，年内预算追加金额较大，预算编制的合理性有待进一步提高。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2.年初预算绩效目标不够明确，绩效指标未细化和量化。</w:t>
      </w:r>
    </w:p>
    <w:p>
      <w:pPr>
        <w:keepNext w:val="0"/>
        <w:keepLines w:val="0"/>
        <w:pageBreakBefore w:val="0"/>
        <w:kinsoku/>
        <w:wordWrap/>
        <w:overflowPunct/>
        <w:topLinePunct w:val="0"/>
        <w:autoSpaceDE/>
        <w:autoSpaceDN/>
        <w:bidi w:val="0"/>
        <w:adjustRightInd/>
        <w:snapToGrid/>
        <w:spacing w:line="360" w:lineRule="auto"/>
        <w:ind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六、改进措施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科学合理编制预算，严格执行预算。要按照《预算法》及其实施条例的相关规定，参考上一年的预算执行情况和年度的收支预测科学编制预算，避免年中大幅追加以及超预算。同时严格预算执行，提高资金使用效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2.规范账务处理，提高财务信息质量。严格按照《会计法》、《政府会计制度》等规定，结合实际情况，科学设置支出科目，规范财务核算，完整披露相关信息。</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3.加强单位内控制度建设，完善相关内部管理制度。按省财政厅要求开展内部控制建设工作，通过查找内部管理中的薄弱环节提出《内部控制缺陷清单》，通过清理制度完善各项《内部控制制度》。</w:t>
      </w:r>
    </w:p>
    <w:tbl>
      <w:tblPr>
        <w:tblStyle w:val="8"/>
        <w:tblpPr w:leftFromText="180" w:rightFromText="180" w:vertAnchor="text" w:horzAnchor="page" w:tblpXSpec="center" w:tblpY="471"/>
        <w:tblOverlap w:val="never"/>
        <w:tblW w:w="5000" w:type="pct"/>
        <w:jc w:val="center"/>
        <w:shd w:val="clear" w:color="auto" w:fill="auto"/>
        <w:tblLayout w:type="autofit"/>
        <w:tblCellMar>
          <w:top w:w="0" w:type="dxa"/>
          <w:left w:w="108" w:type="dxa"/>
          <w:bottom w:w="0" w:type="dxa"/>
          <w:right w:w="108" w:type="dxa"/>
        </w:tblCellMar>
      </w:tblPr>
      <w:tblGrid>
        <w:gridCol w:w="1437"/>
        <w:gridCol w:w="1297"/>
        <w:gridCol w:w="1592"/>
        <w:gridCol w:w="2656"/>
        <w:gridCol w:w="1111"/>
        <w:gridCol w:w="1100"/>
        <w:gridCol w:w="1489"/>
      </w:tblGrid>
      <w:tr>
        <w:tblPrEx>
          <w:tblCellMar>
            <w:top w:w="0" w:type="dxa"/>
            <w:left w:w="108" w:type="dxa"/>
            <w:bottom w:w="0" w:type="dxa"/>
            <w:right w:w="108" w:type="dxa"/>
          </w:tblCellMar>
        </w:tblPrEx>
        <w:trPr>
          <w:trHeight w:val="465" w:hRule="atLeast"/>
          <w:jc w:val="center"/>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2020年度部门整体支出绩效自评表</w:t>
            </w:r>
          </w:p>
        </w:tc>
      </w:tr>
      <w:tr>
        <w:tblPrEx>
          <w:shd w:val="clear" w:color="auto" w:fill="auto"/>
          <w:tblCellMar>
            <w:top w:w="0" w:type="dxa"/>
            <w:left w:w="108" w:type="dxa"/>
            <w:bottom w:w="0" w:type="dxa"/>
            <w:right w:w="108" w:type="dxa"/>
          </w:tblCellMar>
        </w:tblPrEx>
        <w:trPr>
          <w:trHeight w:val="555" w:hRule="atLeast"/>
          <w:jc w:val="center"/>
        </w:trPr>
        <w:tc>
          <w:tcPr>
            <w:tcW w:w="673"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一级指标</w:t>
            </w:r>
          </w:p>
        </w:tc>
        <w:tc>
          <w:tcPr>
            <w:tcW w:w="607"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二级指标</w:t>
            </w:r>
          </w:p>
        </w:tc>
        <w:tc>
          <w:tcPr>
            <w:tcW w:w="74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三级指标</w:t>
            </w:r>
          </w:p>
        </w:tc>
        <w:tc>
          <w:tcPr>
            <w:tcW w:w="1243"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评分标准</w:t>
            </w:r>
          </w:p>
        </w:tc>
        <w:tc>
          <w:tcPr>
            <w:tcW w:w="520"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分值</w:t>
            </w:r>
          </w:p>
        </w:tc>
        <w:tc>
          <w:tcPr>
            <w:tcW w:w="515" w:type="pc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自评得分</w:t>
            </w:r>
          </w:p>
        </w:tc>
        <w:tc>
          <w:tcPr>
            <w:tcW w:w="694" w:type="pc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扣分原因和其他说明</w:t>
            </w:r>
          </w:p>
        </w:tc>
      </w:tr>
      <w:tr>
        <w:tblPrEx>
          <w:shd w:val="clear" w:color="auto" w:fill="auto"/>
          <w:tblCellMar>
            <w:top w:w="0" w:type="dxa"/>
            <w:left w:w="108" w:type="dxa"/>
            <w:bottom w:w="0" w:type="dxa"/>
            <w:right w:w="108" w:type="dxa"/>
          </w:tblCellMar>
        </w:tblPrEx>
        <w:trPr>
          <w:trHeight w:val="1530" w:hRule="atLeast"/>
          <w:jc w:val="center"/>
        </w:trPr>
        <w:tc>
          <w:tcPr>
            <w:tcW w:w="673" w:type="pct"/>
            <w:tcBorders>
              <w:top w:val="nil"/>
              <w:left w:val="single" w:color="000000" w:sz="8" w:space="0"/>
              <w:bottom w:val="nil"/>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07" w:type="pct"/>
            <w:tcBorders>
              <w:top w:val="nil"/>
              <w:left w:val="nil"/>
              <w:bottom w:val="nil"/>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74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财政供养人员</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控制率</w:t>
            </w:r>
          </w:p>
        </w:tc>
        <w:tc>
          <w:tcPr>
            <w:tcW w:w="1243"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以100%为标准。在职人员控制率</w:t>
            </w:r>
            <w:r>
              <w:rPr>
                <w:rStyle w:val="15"/>
                <w:lang w:val="en-US" w:eastAsia="zh-CN" w:bidi="ar"/>
              </w:rPr>
              <w:t>≦</w:t>
            </w:r>
            <w:r>
              <w:rPr>
                <w:rStyle w:val="16"/>
                <w:rFonts w:hAnsi="宋体"/>
                <w:lang w:val="en-US" w:eastAsia="zh-CN" w:bidi="ar"/>
              </w:rPr>
              <w:t>100%，计5分；每超过一个百分点扣0.5分，扣完为止。</w:t>
            </w:r>
          </w:p>
        </w:tc>
        <w:tc>
          <w:tcPr>
            <w:tcW w:w="520"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5</w:t>
            </w:r>
          </w:p>
        </w:tc>
        <w:tc>
          <w:tcPr>
            <w:tcW w:w="51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5</w:t>
            </w:r>
          </w:p>
        </w:tc>
        <w:tc>
          <w:tcPr>
            <w:tcW w:w="694" w:type="pct"/>
            <w:vMerge w:val="restart"/>
            <w:tcBorders>
              <w:top w:val="nil"/>
              <w:left w:val="nil"/>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5" w:hRule="atLeast"/>
          <w:jc w:val="center"/>
        </w:trPr>
        <w:tc>
          <w:tcPr>
            <w:tcW w:w="673" w:type="pct"/>
            <w:tcBorders>
              <w:top w:val="nil"/>
              <w:left w:val="single" w:color="000000" w:sz="8" w:space="0"/>
              <w:bottom w:val="nil"/>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07" w:type="pct"/>
            <w:tcBorders>
              <w:top w:val="nil"/>
              <w:left w:val="nil"/>
              <w:bottom w:val="nil"/>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vMerge w:val="continue"/>
            <w:tcBorders>
              <w:top w:val="nil"/>
              <w:left w:val="nil"/>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2"/>
                <w:szCs w:val="22"/>
                <w:u w:val="none"/>
              </w:rPr>
            </w:pP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70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“三公经费”变动率</w:t>
            </w: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“三公经费”变动率</w:t>
            </w:r>
            <w:r>
              <w:rPr>
                <w:rStyle w:val="15"/>
                <w:lang w:val="en-US" w:eastAsia="zh-CN" w:bidi="ar"/>
              </w:rPr>
              <w:t>≦</w:t>
            </w:r>
            <w:r>
              <w:rPr>
                <w:rStyle w:val="16"/>
                <w:rFonts w:hAnsi="宋体"/>
                <w:lang w:val="en-US" w:eastAsia="zh-CN" w:bidi="ar"/>
              </w:rPr>
              <w:t>0,计5分；</w:t>
            </w:r>
          </w:p>
        </w:tc>
        <w:tc>
          <w:tcPr>
            <w:tcW w:w="520"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5</w:t>
            </w:r>
          </w:p>
        </w:tc>
        <w:tc>
          <w:tcPr>
            <w:tcW w:w="51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5</w:t>
            </w:r>
          </w:p>
        </w:tc>
        <w:tc>
          <w:tcPr>
            <w:tcW w:w="694" w:type="pct"/>
            <w:vMerge w:val="restart"/>
            <w:tcBorders>
              <w:top w:val="nil"/>
              <w:left w:val="nil"/>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825" w:hRule="atLeast"/>
          <w:jc w:val="center"/>
        </w:trPr>
        <w:tc>
          <w:tcPr>
            <w:tcW w:w="673" w:type="pc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  入</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（15分）</w:t>
            </w:r>
          </w:p>
        </w:tc>
        <w:tc>
          <w:tcPr>
            <w:tcW w:w="607"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预算配置</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（15分）</w:t>
            </w: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“三公经费”＞0，每超过一个百分点扣0.5分，扣完为止。</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655" w:hRule="atLeast"/>
          <w:jc w:val="center"/>
        </w:trPr>
        <w:tc>
          <w:tcPr>
            <w:tcW w:w="673" w:type="pct"/>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重点支出安排率</w:t>
            </w:r>
          </w:p>
        </w:tc>
        <w:tc>
          <w:tcPr>
            <w:tcW w:w="12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重点支出安排率≥90%，计5分；80%（含）-90%，计4分；70%（含）-80%，计3分；60%（含）-70%，计2分；低于60%不得分。</w:t>
            </w:r>
          </w:p>
        </w:tc>
        <w:tc>
          <w:tcPr>
            <w:tcW w:w="5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5</w:t>
            </w:r>
          </w:p>
        </w:tc>
        <w:tc>
          <w:tcPr>
            <w:tcW w:w="51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5</w:t>
            </w:r>
          </w:p>
        </w:tc>
        <w:tc>
          <w:tcPr>
            <w:tcW w:w="694" w:type="pct"/>
            <w:tcBorders>
              <w:top w:val="nil"/>
              <w:left w:val="nil"/>
              <w:bottom w:val="single" w:color="000000" w:sz="8" w:space="0"/>
              <w:right w:val="single" w:color="000000" w:sz="8" w:space="0"/>
            </w:tcBorders>
            <w:shd w:val="clear" w:color="auto" w:fill="auto"/>
            <w:vAlign w:val="center"/>
          </w:tcPr>
          <w:p>
            <w:pP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905" w:hRule="atLeast"/>
          <w:jc w:val="center"/>
        </w:trPr>
        <w:tc>
          <w:tcPr>
            <w:tcW w:w="673" w:type="pct"/>
            <w:tcBorders>
              <w:top w:val="nil"/>
              <w:left w:val="single" w:color="000000" w:sz="8" w:space="0"/>
              <w:bottom w:val="nil"/>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07" w:type="pct"/>
            <w:tcBorders>
              <w:top w:val="nil"/>
              <w:left w:val="nil"/>
              <w:bottom w:val="nil"/>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74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预算调整率</w:t>
            </w:r>
          </w:p>
        </w:tc>
        <w:tc>
          <w:tcPr>
            <w:tcW w:w="12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预算调整率=0，计3分；0-10%（含），计2分；10-20%（含），计1分；20-30%（含），计0.5分；大于30%不得分。</w:t>
            </w:r>
          </w:p>
        </w:tc>
        <w:tc>
          <w:tcPr>
            <w:tcW w:w="5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51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0</w:t>
            </w:r>
          </w:p>
        </w:tc>
        <w:tc>
          <w:tcPr>
            <w:tcW w:w="694" w:type="pct"/>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825" w:hRule="atLeast"/>
          <w:jc w:val="center"/>
        </w:trPr>
        <w:tc>
          <w:tcPr>
            <w:tcW w:w="673" w:type="pc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过  程（40分）</w:t>
            </w:r>
          </w:p>
        </w:tc>
        <w:tc>
          <w:tcPr>
            <w:tcW w:w="607"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预算执行</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（15分）</w:t>
            </w:r>
          </w:p>
        </w:tc>
        <w:tc>
          <w:tcPr>
            <w:tcW w:w="74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支付进度</w:t>
            </w:r>
          </w:p>
        </w:tc>
        <w:tc>
          <w:tcPr>
            <w:tcW w:w="12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每出现一个专项未按进度完成资金下达扣0.5分，扣完为止。</w:t>
            </w:r>
          </w:p>
        </w:tc>
        <w:tc>
          <w:tcPr>
            <w:tcW w:w="5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51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694" w:type="pct"/>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09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资金结余</w:t>
            </w:r>
          </w:p>
        </w:tc>
        <w:tc>
          <w:tcPr>
            <w:tcW w:w="12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无结余，3分；有结余，但不超过上年结转，2分；结余超过上年结转，不得分。</w:t>
            </w:r>
          </w:p>
        </w:tc>
        <w:tc>
          <w:tcPr>
            <w:tcW w:w="5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51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0</w:t>
            </w:r>
          </w:p>
        </w:tc>
        <w:tc>
          <w:tcPr>
            <w:tcW w:w="694" w:type="pct"/>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15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“三公经费”控制率</w:t>
            </w: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以100%为标准。三公经费控制率</w:t>
            </w:r>
            <w:r>
              <w:rPr>
                <w:rStyle w:val="15"/>
                <w:lang w:val="en-US" w:eastAsia="zh-CN" w:bidi="ar"/>
              </w:rPr>
              <w:t>≦</w:t>
            </w:r>
            <w:r>
              <w:rPr>
                <w:rStyle w:val="16"/>
                <w:rFonts w:hAnsi="宋体"/>
                <w:lang w:val="en-US" w:eastAsia="zh-CN" w:bidi="ar"/>
              </w:rPr>
              <w:t>100%，计6分；</w:t>
            </w:r>
          </w:p>
        </w:tc>
        <w:tc>
          <w:tcPr>
            <w:tcW w:w="520"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6</w:t>
            </w:r>
          </w:p>
        </w:tc>
        <w:tc>
          <w:tcPr>
            <w:tcW w:w="51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6</w:t>
            </w:r>
          </w:p>
        </w:tc>
        <w:tc>
          <w:tcPr>
            <w:tcW w:w="694" w:type="pct"/>
            <w:vMerge w:val="restart"/>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5" w:hRule="atLeast"/>
          <w:jc w:val="center"/>
        </w:trPr>
        <w:tc>
          <w:tcPr>
            <w:tcW w:w="673" w:type="pct"/>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每超过一个百分点扣1分，扣完为止。</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580"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single" w:color="000000" w:sz="8" w:space="0"/>
              <w:bottom w:val="nil"/>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74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管理制度</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健全性</w:t>
            </w: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①已制定或具有预算资金管理办法，内部财务管理制度、会计核算制度等管理制度，1分；</w:t>
            </w:r>
          </w:p>
        </w:tc>
        <w:tc>
          <w:tcPr>
            <w:tcW w:w="520"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51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694" w:type="pct"/>
            <w:vMerge w:val="restart"/>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single" w:color="000000" w:sz="8" w:space="0"/>
              <w:bottom w:val="nil"/>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②相关管理制度合法、合规、完整，1分；</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③相关管理制度得到有效执行，1分。</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580"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资金使用</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合规性</w:t>
            </w: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①支出符合国家财经法规和财务管理制度规定以及有关专项资金管理办法的规定；</w:t>
            </w:r>
          </w:p>
        </w:tc>
        <w:tc>
          <w:tcPr>
            <w:tcW w:w="520"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51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694" w:type="pct"/>
            <w:vMerge w:val="restart"/>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②资金拨付有完整的审批程序和手续；</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5" w:hRule="atLeast"/>
          <w:jc w:val="center"/>
        </w:trPr>
        <w:tc>
          <w:tcPr>
            <w:tcW w:w="673" w:type="pc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过  程（40分）</w:t>
            </w:r>
          </w:p>
        </w:tc>
        <w:tc>
          <w:tcPr>
            <w:tcW w:w="607" w:type="pc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预算管理（15分）</w:t>
            </w: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③项目支出按规定经过评估论证；</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④支出符合部门预算批复的用途；</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82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⑤资金使用无截留、挤占、挪用、虚列支出等情况。</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82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以上情况每出现一例不符合要求的扣1分，扣完为止。</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30"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预决算信息公开性和完善性</w:t>
            </w: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①按规定内容公开预决算信息，1分；</w:t>
            </w:r>
          </w:p>
        </w:tc>
        <w:tc>
          <w:tcPr>
            <w:tcW w:w="520"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515" w:type="pct"/>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694" w:type="pct"/>
            <w:vMerge w:val="restart"/>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②按规定时限公开预决算信息，0.5分；</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82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③基础数据信息和会计信息资料真实，0.5分；</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82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④基础数据信息和会计信息资料完整，0.5分；</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825" w:hRule="atLeast"/>
          <w:jc w:val="center"/>
        </w:trPr>
        <w:tc>
          <w:tcPr>
            <w:tcW w:w="673" w:type="pct"/>
            <w:tcBorders>
              <w:top w:val="nil"/>
              <w:left w:val="single" w:color="000000" w:sz="8" w:space="0"/>
              <w:bottom w:val="single" w:color="auto"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single" w:color="000000" w:sz="8" w:space="0"/>
              <w:bottom w:val="single" w:color="auto"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auto"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⑤基础数据信息和汇集信息资料准确，0.5分。</w:t>
            </w:r>
            <w:r>
              <w:rPr>
                <w:rStyle w:val="16"/>
                <w:rFonts w:hAnsi="宋体"/>
                <w:lang w:val="en-US" w:eastAsia="zh-CN" w:bidi="ar"/>
              </w:rPr>
              <w:t xml:space="preserve">                                            </w:t>
            </w:r>
          </w:p>
        </w:tc>
        <w:tc>
          <w:tcPr>
            <w:tcW w:w="520" w:type="pct"/>
            <w:vMerge w:val="continue"/>
            <w:tcBorders>
              <w:top w:val="nil"/>
              <w:left w:val="nil"/>
              <w:bottom w:val="single" w:color="auto"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auto" w:sz="4"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auto" w:sz="4"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30" w:hRule="atLeast"/>
          <w:jc w:val="center"/>
        </w:trPr>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政府采购</w:t>
            </w:r>
          </w:p>
        </w:tc>
        <w:tc>
          <w:tcPr>
            <w:tcW w:w="12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政府采购执行率等于100%的，得3分；</w:t>
            </w:r>
          </w:p>
        </w:tc>
        <w:tc>
          <w:tcPr>
            <w:tcW w:w="5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51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69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5" w:hRule="atLeast"/>
          <w:jc w:val="center"/>
        </w:trPr>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（15分）</w:t>
            </w:r>
          </w:p>
        </w:tc>
        <w:tc>
          <w:tcPr>
            <w:tcW w:w="7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执行率</w:t>
            </w:r>
          </w:p>
        </w:tc>
        <w:tc>
          <w:tcPr>
            <w:tcW w:w="12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每减少一个百分点，扣0.2分，扣完为止。</w:t>
            </w:r>
          </w:p>
        </w:tc>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30" w:hRule="atLeast"/>
          <w:jc w:val="center"/>
        </w:trPr>
        <w:tc>
          <w:tcPr>
            <w:tcW w:w="673"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公务卡刷卡率</w:t>
            </w:r>
          </w:p>
        </w:tc>
        <w:tc>
          <w:tcPr>
            <w:tcW w:w="12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公务卡刷卡率达50％以上的，得3分。</w:t>
            </w:r>
          </w:p>
        </w:tc>
        <w:tc>
          <w:tcPr>
            <w:tcW w:w="5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515"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0</w:t>
            </w:r>
          </w:p>
        </w:tc>
        <w:tc>
          <w:tcPr>
            <w:tcW w:w="694" w:type="pct"/>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2020年暂未办理公务卡</w:t>
            </w:r>
          </w:p>
        </w:tc>
      </w:tr>
      <w:tr>
        <w:tblPrEx>
          <w:shd w:val="clear" w:color="auto" w:fill="auto"/>
          <w:tblCellMar>
            <w:top w:w="0" w:type="dxa"/>
            <w:left w:w="108" w:type="dxa"/>
            <w:bottom w:w="0" w:type="dxa"/>
            <w:right w:w="108" w:type="dxa"/>
          </w:tblCellMar>
        </w:tblPrEx>
        <w:trPr>
          <w:trHeight w:val="920" w:hRule="atLeast"/>
          <w:jc w:val="center"/>
        </w:trPr>
        <w:tc>
          <w:tcPr>
            <w:tcW w:w="673" w:type="pct"/>
            <w:tcBorders>
              <w:top w:val="single" w:color="auto" w:sz="4" w:space="0"/>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single" w:color="auto" w:sz="4" w:space="0"/>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single" w:color="auto" w:sz="4"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每减少一个百分点，扣0.2分，扣完为止。</w:t>
            </w:r>
            <w:r>
              <w:rPr>
                <w:rStyle w:val="16"/>
                <w:rFonts w:hAnsi="宋体"/>
                <w:lang w:val="en-US" w:eastAsia="zh-CN" w:bidi="ar"/>
              </w:rPr>
              <w:t xml:space="preserve">                                            </w:t>
            </w:r>
          </w:p>
        </w:tc>
        <w:tc>
          <w:tcPr>
            <w:tcW w:w="520" w:type="pct"/>
            <w:vMerge w:val="continue"/>
            <w:tcBorders>
              <w:top w:val="single" w:color="auto" w:sz="4"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single" w:color="auto" w:sz="4" w:space="0"/>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single" w:color="auto" w:sz="4" w:space="0"/>
              <w:left w:val="nil"/>
              <w:bottom w:val="single" w:color="000000" w:sz="8" w:space="0"/>
              <w:right w:val="single" w:color="auto"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360"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74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管理制度</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健全性</w:t>
            </w: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①已制定或具有资产管理制度，且相关资产管理制度合法、合规、完整，2分；</w:t>
            </w:r>
          </w:p>
        </w:tc>
        <w:tc>
          <w:tcPr>
            <w:tcW w:w="520"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515" w:type="pct"/>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694" w:type="pct"/>
            <w:vMerge w:val="restart"/>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②相关资产管理制度得到有效执行，1分。</w:t>
            </w:r>
            <w:r>
              <w:rPr>
                <w:rStyle w:val="16"/>
                <w:rFonts w:hAnsi="宋体"/>
                <w:lang w:val="en-US" w:eastAsia="zh-CN" w:bidi="ar"/>
              </w:rPr>
              <w:t xml:space="preserve">                                           </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40" w:hRule="atLeast"/>
          <w:jc w:val="center"/>
        </w:trPr>
        <w:tc>
          <w:tcPr>
            <w:tcW w:w="673" w:type="pc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过  程</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（40分）</w:t>
            </w:r>
          </w:p>
        </w:tc>
        <w:tc>
          <w:tcPr>
            <w:tcW w:w="607"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资产管理</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（10分）</w:t>
            </w:r>
          </w:p>
        </w:tc>
        <w:tc>
          <w:tcPr>
            <w:tcW w:w="74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资产管理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安全性</w:t>
            </w: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①资产保存完整；</w:t>
            </w:r>
          </w:p>
        </w:tc>
        <w:tc>
          <w:tcPr>
            <w:tcW w:w="520"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4</w:t>
            </w:r>
          </w:p>
        </w:tc>
        <w:tc>
          <w:tcPr>
            <w:tcW w:w="515" w:type="pct"/>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4</w:t>
            </w:r>
          </w:p>
        </w:tc>
        <w:tc>
          <w:tcPr>
            <w:tcW w:w="694" w:type="pct"/>
            <w:vMerge w:val="restart"/>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5" w:hRule="atLeast"/>
          <w:jc w:val="center"/>
        </w:trPr>
        <w:tc>
          <w:tcPr>
            <w:tcW w:w="673" w:type="pct"/>
            <w:tcBorders>
              <w:top w:val="nil"/>
              <w:left w:val="single" w:color="000000" w:sz="8" w:space="0"/>
              <w:bottom w:val="nil"/>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07" w:type="pct"/>
            <w:tcBorders>
              <w:top w:val="nil"/>
              <w:left w:val="nil"/>
              <w:bottom w:val="nil"/>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②资产配置合理；</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③资产处置规范；</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④资产账务管理合规，帐实相符；</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00"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⑤资产有偿使用及处置收入及时足额上缴；</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82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以上情况每出现一例不符合有关要求的扣1分，扣完为止。</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30"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固定资产</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利用率</w:t>
            </w:r>
          </w:p>
        </w:tc>
        <w:tc>
          <w:tcPr>
            <w:tcW w:w="1243"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每低于100%一个百分点扣0.1分，扣完为止。</w:t>
            </w:r>
          </w:p>
        </w:tc>
        <w:tc>
          <w:tcPr>
            <w:tcW w:w="520"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515" w:type="pct"/>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3</w:t>
            </w:r>
          </w:p>
        </w:tc>
        <w:tc>
          <w:tcPr>
            <w:tcW w:w="694" w:type="pct"/>
            <w:vMerge w:val="restart"/>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5" w:hRule="atLeast"/>
          <w:jc w:val="center"/>
        </w:trPr>
        <w:tc>
          <w:tcPr>
            <w:tcW w:w="673" w:type="pct"/>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vMerge w:val="continue"/>
            <w:tcBorders>
              <w:top w:val="nil"/>
              <w:left w:val="nil"/>
              <w:bottom w:val="single" w:color="000000" w:sz="8" w:space="0"/>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2"/>
                <w:szCs w:val="22"/>
                <w:u w:val="none"/>
              </w:rPr>
            </w:pP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600" w:hRule="atLeast"/>
          <w:jc w:val="center"/>
        </w:trPr>
        <w:tc>
          <w:tcPr>
            <w:tcW w:w="673" w:type="pct"/>
            <w:tcBorders>
              <w:top w:val="nil"/>
              <w:left w:val="single" w:color="000000" w:sz="8" w:space="0"/>
              <w:bottom w:val="nil"/>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07" w:type="pct"/>
            <w:tcBorders>
              <w:top w:val="nil"/>
              <w:left w:val="nil"/>
              <w:bottom w:val="nil"/>
              <w:right w:val="single" w:color="000000" w:sz="8" w:space="0"/>
            </w:tcBorders>
            <w:shd w:val="clear" w:color="auto" w:fill="auto"/>
            <w:vAlign w:val="center"/>
          </w:tcPr>
          <w:p>
            <w:pPr>
              <w:jc w:val="left"/>
              <w:rPr>
                <w:rFonts w:hint="default" w:ascii="仿宋_GB2312" w:hAnsi="宋体" w:eastAsia="仿宋_GB2312" w:cs="仿宋_GB2312"/>
                <w:i w:val="0"/>
                <w:iCs w:val="0"/>
                <w:color w:val="000000"/>
                <w:sz w:val="22"/>
                <w:szCs w:val="22"/>
                <w:u w:val="none"/>
              </w:rPr>
            </w:pPr>
          </w:p>
        </w:tc>
        <w:tc>
          <w:tcPr>
            <w:tcW w:w="74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完成实绩情况</w:t>
            </w:r>
          </w:p>
        </w:tc>
        <w:tc>
          <w:tcPr>
            <w:tcW w:w="12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（1）目标责任制全部完成，得满分；</w:t>
            </w:r>
            <w:r>
              <w:rPr>
                <w:rStyle w:val="16"/>
                <w:rFonts w:hAnsi="宋体"/>
                <w:lang w:val="en-US" w:eastAsia="zh-CN" w:bidi="ar"/>
              </w:rPr>
              <w:t xml:space="preserve">                       （2）每发生一项任务未完成的扣3分，扣完为止。</w:t>
            </w:r>
          </w:p>
        </w:tc>
        <w:tc>
          <w:tcPr>
            <w:tcW w:w="5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9</w:t>
            </w:r>
          </w:p>
        </w:tc>
        <w:tc>
          <w:tcPr>
            <w:tcW w:w="515" w:type="pc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9</w:t>
            </w:r>
          </w:p>
        </w:tc>
        <w:tc>
          <w:tcPr>
            <w:tcW w:w="694" w:type="pct"/>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365" w:hRule="atLeast"/>
          <w:jc w:val="center"/>
        </w:trPr>
        <w:tc>
          <w:tcPr>
            <w:tcW w:w="673" w:type="pc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产出</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（25分）</w:t>
            </w:r>
          </w:p>
        </w:tc>
        <w:tc>
          <w:tcPr>
            <w:tcW w:w="607" w:type="pct"/>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履职尽责</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（25分）</w:t>
            </w:r>
          </w:p>
        </w:tc>
        <w:tc>
          <w:tcPr>
            <w:tcW w:w="74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质量达标情况</w:t>
            </w:r>
          </w:p>
        </w:tc>
        <w:tc>
          <w:tcPr>
            <w:tcW w:w="12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（1）目标责任制全部达标，得满分；</w:t>
            </w:r>
            <w:r>
              <w:rPr>
                <w:rStyle w:val="16"/>
                <w:rFonts w:hAnsi="宋体"/>
                <w:lang w:val="en-US" w:eastAsia="zh-CN" w:bidi="ar"/>
              </w:rPr>
              <w:t xml:space="preserve">                       （2）每发生一项任务质量未达标的扣2分，扣完为止。</w:t>
            </w:r>
          </w:p>
        </w:tc>
        <w:tc>
          <w:tcPr>
            <w:tcW w:w="5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8</w:t>
            </w:r>
          </w:p>
        </w:tc>
        <w:tc>
          <w:tcPr>
            <w:tcW w:w="515" w:type="pc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8</w:t>
            </w:r>
          </w:p>
        </w:tc>
        <w:tc>
          <w:tcPr>
            <w:tcW w:w="694" w:type="pct"/>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740" w:hRule="atLeast"/>
          <w:jc w:val="center"/>
        </w:trPr>
        <w:tc>
          <w:tcPr>
            <w:tcW w:w="673" w:type="pct"/>
            <w:tcBorders>
              <w:top w:val="nil"/>
              <w:left w:val="single" w:color="000000" w:sz="8" w:space="0"/>
              <w:bottom w:val="single" w:color="auto"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single" w:color="auto" w:sz="4"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重点工作完成情况</w:t>
            </w:r>
          </w:p>
        </w:tc>
        <w:tc>
          <w:tcPr>
            <w:tcW w:w="1243" w:type="pct"/>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（1）重点工作全部完成，得满分；</w:t>
            </w:r>
            <w:r>
              <w:rPr>
                <w:rStyle w:val="16"/>
                <w:rFonts w:hAnsi="宋体"/>
                <w:lang w:val="en-US" w:eastAsia="zh-CN" w:bidi="ar"/>
              </w:rPr>
              <w:t xml:space="preserve">                       （2）每发生一项重点工作未完成的扣2分，扣完为止。</w:t>
            </w:r>
          </w:p>
        </w:tc>
        <w:tc>
          <w:tcPr>
            <w:tcW w:w="5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8</w:t>
            </w:r>
          </w:p>
        </w:tc>
        <w:tc>
          <w:tcPr>
            <w:tcW w:w="515" w:type="pc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8</w:t>
            </w:r>
          </w:p>
        </w:tc>
        <w:tc>
          <w:tcPr>
            <w:tcW w:w="694" w:type="pct"/>
            <w:tcBorders>
              <w:top w:val="nil"/>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605" w:hRule="atLeast"/>
          <w:jc w:val="center"/>
        </w:trPr>
        <w:tc>
          <w:tcPr>
            <w:tcW w:w="673"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0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7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经济效益</w:t>
            </w:r>
          </w:p>
        </w:tc>
        <w:tc>
          <w:tcPr>
            <w:tcW w:w="12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此三项指标为设置部门整体支出绩效评价指标时必须考虑的共性要素。</w:t>
            </w:r>
          </w:p>
        </w:tc>
        <w:tc>
          <w:tcPr>
            <w:tcW w:w="520" w:type="pct"/>
            <w:vMerge w:val="restart"/>
            <w:tcBorders>
              <w:top w:val="nil"/>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15</w:t>
            </w:r>
          </w:p>
        </w:tc>
        <w:tc>
          <w:tcPr>
            <w:tcW w:w="515" w:type="pct"/>
            <w:tcBorders>
              <w:top w:val="nil"/>
              <w:left w:val="nil"/>
              <w:bottom w:val="single" w:color="auto" w:sz="4" w:space="0"/>
              <w:right w:val="single" w:color="000000" w:sz="8"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15</w:t>
            </w:r>
          </w:p>
        </w:tc>
        <w:tc>
          <w:tcPr>
            <w:tcW w:w="694" w:type="pct"/>
            <w:tcBorders>
              <w:top w:val="nil"/>
              <w:left w:val="nil"/>
              <w:bottom w:val="single" w:color="auto" w:sz="4"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1635" w:hRule="atLeast"/>
          <w:jc w:val="center"/>
        </w:trPr>
        <w:tc>
          <w:tcPr>
            <w:tcW w:w="673" w:type="pct"/>
            <w:tcBorders>
              <w:top w:val="single" w:color="auto" w:sz="4"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效  果</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（20分）</w:t>
            </w:r>
          </w:p>
        </w:tc>
        <w:tc>
          <w:tcPr>
            <w:tcW w:w="607" w:type="pct"/>
            <w:tcBorders>
              <w:top w:val="single" w:color="auto" w:sz="4"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履职效益</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20分）</w:t>
            </w:r>
          </w:p>
        </w:tc>
        <w:tc>
          <w:tcPr>
            <w:tcW w:w="745" w:type="pct"/>
            <w:tcBorders>
              <w:top w:val="single" w:color="auto" w:sz="4" w:space="0"/>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社会效益</w:t>
            </w:r>
          </w:p>
        </w:tc>
        <w:tc>
          <w:tcPr>
            <w:tcW w:w="124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部门单位应根据部门实际并结合部门整体支出绩效目标设立情况有选择的进行设置，并将其细化为相应的个性化指标。</w:t>
            </w:r>
          </w:p>
        </w:tc>
        <w:tc>
          <w:tcPr>
            <w:tcW w:w="52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生态效益</w:t>
            </w:r>
          </w:p>
        </w:tc>
        <w:tc>
          <w:tcPr>
            <w:tcW w:w="1243" w:type="pct"/>
            <w:tcBorders>
              <w:top w:val="single" w:color="auto" w:sz="4" w:space="0"/>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520" w:type="pct"/>
            <w:vMerge w:val="continue"/>
            <w:tcBorders>
              <w:top w:val="single" w:color="auto" w:sz="4" w:space="0"/>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tcBorders>
              <w:top w:val="single" w:color="auto" w:sz="4" w:space="0"/>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94" w:type="pct"/>
            <w:tcBorders>
              <w:top w:val="single" w:color="auto" w:sz="4" w:space="0"/>
              <w:left w:val="nil"/>
              <w:bottom w:val="single" w:color="000000" w:sz="8" w:space="0"/>
              <w:right w:val="single" w:color="000000" w:sz="8"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480"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社会公众或服务对象满意度</w:t>
            </w: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95%（含）以上计5分；</w:t>
            </w:r>
          </w:p>
        </w:tc>
        <w:tc>
          <w:tcPr>
            <w:tcW w:w="520"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5</w:t>
            </w:r>
          </w:p>
        </w:tc>
        <w:tc>
          <w:tcPr>
            <w:tcW w:w="515" w:type="pct"/>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5</w:t>
            </w:r>
          </w:p>
        </w:tc>
        <w:tc>
          <w:tcPr>
            <w:tcW w:w="694" w:type="pct"/>
            <w:vMerge w:val="restart"/>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85%（含）-95%，计3分；</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5" w:hRule="atLeast"/>
          <w:jc w:val="center"/>
        </w:trPr>
        <w:tc>
          <w:tcPr>
            <w:tcW w:w="673" w:type="pct"/>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75%（含）-85%，计1分；</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5" w:hRule="atLeast"/>
          <w:jc w:val="center"/>
        </w:trPr>
        <w:tc>
          <w:tcPr>
            <w:tcW w:w="673" w:type="pct"/>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07" w:type="pct"/>
            <w:tcBorders>
              <w:top w:val="nil"/>
              <w:left w:val="nil"/>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4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124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低于75%计0分。</w:t>
            </w:r>
          </w:p>
        </w:tc>
        <w:tc>
          <w:tcPr>
            <w:tcW w:w="520"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515"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c>
          <w:tcPr>
            <w:tcW w:w="694" w:type="pct"/>
            <w:vMerge w:val="continue"/>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5" w:hRule="atLeast"/>
          <w:jc w:val="center"/>
        </w:trPr>
        <w:tc>
          <w:tcPr>
            <w:tcW w:w="673" w:type="pc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总 分</w:t>
            </w:r>
          </w:p>
        </w:tc>
        <w:tc>
          <w:tcPr>
            <w:tcW w:w="607" w:type="pct"/>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22"/>
                <w:szCs w:val="22"/>
                <w:u w:val="none"/>
              </w:rPr>
            </w:pPr>
          </w:p>
        </w:tc>
        <w:tc>
          <w:tcPr>
            <w:tcW w:w="745" w:type="pct"/>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22"/>
                <w:szCs w:val="22"/>
                <w:u w:val="none"/>
              </w:rPr>
            </w:pPr>
          </w:p>
        </w:tc>
        <w:tc>
          <w:tcPr>
            <w:tcW w:w="1243" w:type="pct"/>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22"/>
                <w:szCs w:val="22"/>
                <w:u w:val="none"/>
              </w:rPr>
            </w:pPr>
          </w:p>
        </w:tc>
        <w:tc>
          <w:tcPr>
            <w:tcW w:w="520"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100</w:t>
            </w:r>
          </w:p>
        </w:tc>
        <w:tc>
          <w:tcPr>
            <w:tcW w:w="515"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91</w:t>
            </w:r>
          </w:p>
        </w:tc>
        <w:tc>
          <w:tcPr>
            <w:tcW w:w="694" w:type="pct"/>
            <w:tcBorders>
              <w:top w:val="nil"/>
              <w:left w:val="nil"/>
              <w:bottom w:val="single" w:color="000000" w:sz="8" w:space="0"/>
              <w:right w:val="single" w:color="000000" w:sz="8" w:space="0"/>
            </w:tcBorders>
            <w:shd w:val="clear" w:color="auto" w:fill="auto"/>
            <w:vAlign w:val="center"/>
          </w:tcPr>
          <w:p>
            <w:pPr>
              <w:jc w:val="center"/>
              <w:rPr>
                <w:rFonts w:hint="default" w:ascii="仿宋_GB2312" w:hAnsi="宋体" w:eastAsia="仿宋_GB2312" w:cs="仿宋_GB2312"/>
                <w:b/>
                <w:bCs/>
                <w:i w:val="0"/>
                <w:iCs w:val="0"/>
                <w:color w:val="000000"/>
                <w:sz w:val="22"/>
                <w:szCs w:val="22"/>
                <w:u w:val="none"/>
              </w:rPr>
            </w:pPr>
          </w:p>
        </w:tc>
      </w:tr>
    </w:tbl>
    <w:p>
      <w:pPr>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pStyle w:val="2"/>
        <w:rPr>
          <w:rFonts w:cs="黑体" w:asciiTheme="minorEastAsia" w:hAnsiTheme="minorEastAsia"/>
          <w:color w:val="000000"/>
          <w:kern w:val="0"/>
          <w:sz w:val="32"/>
          <w:szCs w:val="32"/>
        </w:rPr>
      </w:pPr>
    </w:p>
    <w:p>
      <w:pPr>
        <w:rPr>
          <w:rFonts w:cs="黑体" w:asciiTheme="minorEastAsia" w:hAnsiTheme="minorEastAsia"/>
          <w:color w:val="000000"/>
          <w:kern w:val="0"/>
          <w:sz w:val="32"/>
          <w:szCs w:val="32"/>
        </w:rPr>
      </w:pPr>
    </w:p>
    <w:p>
      <w:pPr>
        <w:pStyle w:val="2"/>
        <w:ind w:left="0" w:leftChars="0" w:firstLine="0" w:firstLineChars="0"/>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89DD3"/>
    <w:multiLevelType w:val="singleLevel"/>
    <w:tmpl w:val="8A189DD3"/>
    <w:lvl w:ilvl="0" w:tentative="0">
      <w:start w:val="5"/>
      <w:numFmt w:val="chineseCounting"/>
      <w:suff w:val="nothing"/>
      <w:lvlText w:val="%1、"/>
      <w:lvlJc w:val="left"/>
      <w:rPr>
        <w:rFonts w:hint="eastAsia"/>
      </w:rPr>
    </w:lvl>
  </w:abstractNum>
  <w:abstractNum w:abstractNumId="1">
    <w:nsid w:val="0A3895F7"/>
    <w:multiLevelType w:val="singleLevel"/>
    <w:tmpl w:val="0A3895F7"/>
    <w:lvl w:ilvl="0" w:tentative="0">
      <w:start w:val="3"/>
      <w:numFmt w:val="decimal"/>
      <w:suff w:val="nothing"/>
      <w:lvlText w:val="%1、"/>
      <w:lvlJc w:val="left"/>
      <w:pPr>
        <w:ind w:left="-10"/>
      </w:p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6DE091"/>
    <w:multiLevelType w:val="singleLevel"/>
    <w:tmpl w:val="586DE091"/>
    <w:lvl w:ilvl="0" w:tentative="0">
      <w:start w:val="1"/>
      <w:numFmt w:val="chineseCounting"/>
      <w:suff w:val="nothing"/>
      <w:lvlText w:val="%1、"/>
      <w:lvlJc w:val="left"/>
    </w:lvl>
  </w:abstractNum>
  <w:abstractNum w:abstractNumId="4">
    <w:nsid w:val="586DF077"/>
    <w:multiLevelType w:val="singleLevel"/>
    <w:tmpl w:val="586DF077"/>
    <w:lvl w:ilvl="0" w:tentative="0">
      <w:start w:val="1"/>
      <w:numFmt w:val="chineseCounting"/>
      <w:suff w:val="nothing"/>
      <w:lvlText w:val="（%1）"/>
      <w:lvlJc w:val="left"/>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NWU5MGI5OTEyMDFhNGUzZGJjZTk4NmI2NzYwNGQ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55E2C"/>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AE31FF"/>
    <w:rsid w:val="0E330078"/>
    <w:rsid w:val="0F454AB3"/>
    <w:rsid w:val="0F4D482A"/>
    <w:rsid w:val="0FD229C8"/>
    <w:rsid w:val="10E105AD"/>
    <w:rsid w:val="16A573D8"/>
    <w:rsid w:val="1DC33B30"/>
    <w:rsid w:val="2CED13D0"/>
    <w:rsid w:val="2E330180"/>
    <w:rsid w:val="2F7A73D5"/>
    <w:rsid w:val="2FC84ECF"/>
    <w:rsid w:val="30C92FF6"/>
    <w:rsid w:val="31D942FF"/>
    <w:rsid w:val="352713D7"/>
    <w:rsid w:val="40437D7B"/>
    <w:rsid w:val="44134842"/>
    <w:rsid w:val="44BC6459"/>
    <w:rsid w:val="462330F1"/>
    <w:rsid w:val="487C7CE2"/>
    <w:rsid w:val="4A2275B1"/>
    <w:rsid w:val="4BAA4DB3"/>
    <w:rsid w:val="4BB31299"/>
    <w:rsid w:val="4CEA6A16"/>
    <w:rsid w:val="4E1B3EFF"/>
    <w:rsid w:val="4F664299"/>
    <w:rsid w:val="50066B27"/>
    <w:rsid w:val="50CD6836"/>
    <w:rsid w:val="52215C89"/>
    <w:rsid w:val="568A5A3F"/>
    <w:rsid w:val="5DCB3372"/>
    <w:rsid w:val="5EA81B11"/>
    <w:rsid w:val="64685AA5"/>
    <w:rsid w:val="66B701B9"/>
    <w:rsid w:val="67D369B4"/>
    <w:rsid w:val="69137156"/>
    <w:rsid w:val="6AC85649"/>
    <w:rsid w:val="6CF40D2F"/>
    <w:rsid w:val="6E584EE6"/>
    <w:rsid w:val="716558E5"/>
    <w:rsid w:val="75826F7A"/>
    <w:rsid w:val="75EC3824"/>
    <w:rsid w:val="78B67BFF"/>
    <w:rsid w:val="7E11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napToGrid/>
      <w:spacing w:line="400" w:lineRule="exact"/>
      <w:ind w:firstLine="480" w:firstLineChars="200"/>
    </w:pPr>
    <w:rPr>
      <w:rFonts w:ascii="Calibri" w:hAnsi="Calibri"/>
      <w:sz w:val="21"/>
    </w:rPr>
  </w:style>
  <w:style w:type="paragraph" w:styleId="3">
    <w:name w:val="Body Text Indent"/>
    <w:basedOn w:val="1"/>
    <w:qFormat/>
    <w:uiPriority w:val="0"/>
    <w:pPr>
      <w:spacing w:after="120"/>
      <w:ind w:left="420" w:leftChars="2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 w:type="character" w:customStyle="1" w:styleId="15">
    <w:name w:val="font01"/>
    <w:basedOn w:val="9"/>
    <w:uiPriority w:val="0"/>
    <w:rPr>
      <w:rFonts w:hint="eastAsia" w:ascii="宋体" w:hAnsi="宋体" w:eastAsia="宋体" w:cs="宋体"/>
      <w:color w:val="000000"/>
      <w:sz w:val="22"/>
      <w:szCs w:val="22"/>
      <w:u w:val="none"/>
    </w:rPr>
  </w:style>
  <w:style w:type="character" w:customStyle="1" w:styleId="16">
    <w:name w:val="font31"/>
    <w:basedOn w:val="9"/>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6835</Words>
  <Characters>7575</Characters>
  <Lines>62</Lines>
  <Paragraphs>17</Paragraphs>
  <TotalTime>14</TotalTime>
  <ScaleCrop>false</ScaleCrop>
  <LinksUpToDate>false</LinksUpToDate>
  <CharactersWithSpaces>7812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huan</cp:lastModifiedBy>
  <cp:lastPrinted>2021-09-03T08:28:00Z</cp:lastPrinted>
  <dcterms:modified xsi:type="dcterms:W3CDTF">2022-08-18T03:14:53Z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BDE8044252784D0A93C357E342DC4CDF</vt:lpwstr>
  </property>
</Properties>
</file>