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hint="eastAsia"/>
          <w:sz w:val="56"/>
          <w:szCs w:val="56"/>
        </w:rPr>
      </w:pPr>
    </w:p>
    <w:p>
      <w:pPr>
        <w:pStyle w:val="14"/>
        <w:jc w:val="center"/>
        <w:rPr>
          <w:sz w:val="56"/>
          <w:szCs w:val="56"/>
        </w:rPr>
      </w:pPr>
    </w:p>
    <w:p>
      <w:pPr>
        <w:pStyle w:val="14"/>
        <w:jc w:val="center"/>
        <w:rPr>
          <w:sz w:val="84"/>
          <w:szCs w:val="84"/>
        </w:rPr>
      </w:pPr>
    </w:p>
    <w:p>
      <w:pPr>
        <w:pStyle w:val="14"/>
        <w:jc w:val="center"/>
        <w:rPr>
          <w:sz w:val="84"/>
          <w:szCs w:val="84"/>
        </w:rPr>
      </w:pP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2021年度</w:t>
      </w:r>
    </w:p>
    <w:p>
      <w:pPr>
        <w:pStyle w:val="14"/>
        <w:jc w:val="center"/>
        <w:rPr>
          <w:rFonts w:hint="eastAsia" w:ascii="方正小标宋_GBK" w:hAnsi="方正小标宋_GBK" w:eastAsia="方正小标宋_GBK" w:cs="方正小标宋_GBK"/>
          <w:sz w:val="72"/>
          <w:szCs w:val="72"/>
          <w:lang w:val="en-US" w:eastAsia="zh-CN"/>
        </w:rPr>
      </w:pPr>
      <w:r>
        <w:rPr>
          <w:rFonts w:hint="eastAsia" w:ascii="方正小标宋_GBK" w:hAnsi="方正小标宋_GBK" w:eastAsia="方正小标宋_GBK" w:cs="方正小标宋_GBK"/>
          <w:sz w:val="72"/>
          <w:szCs w:val="72"/>
          <w:lang w:val="en-US" w:eastAsia="zh-CN"/>
        </w:rPr>
        <w:t>永州师范高等专科学校</w:t>
      </w:r>
    </w:p>
    <w:p>
      <w:pPr>
        <w:pStyle w:val="14"/>
        <w:jc w:val="center"/>
        <w:rPr>
          <w:sz w:val="84"/>
          <w:szCs w:val="84"/>
        </w:rPr>
      </w:pPr>
      <w:r>
        <w:rPr>
          <w:rFonts w:hint="eastAsia" w:ascii="方正小标宋_GBK" w:hAnsi="方正小标宋_GBK" w:eastAsia="方正小标宋_GBK" w:cs="方正小标宋_GBK"/>
          <w:sz w:val="72"/>
          <w:szCs w:val="72"/>
        </w:rPr>
        <w:t>部门决算</w:t>
      </w: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32"/>
          <w:szCs w:val="32"/>
        </w:rPr>
      </w:pPr>
    </w:p>
    <w:p>
      <w:pPr>
        <w:pStyle w:val="14"/>
        <w:jc w:val="center"/>
        <w:rPr>
          <w:sz w:val="32"/>
          <w:szCs w:val="32"/>
        </w:rPr>
      </w:pPr>
    </w:p>
    <w:p>
      <w:pPr>
        <w:pStyle w:val="14"/>
        <w:jc w:val="center"/>
        <w:rPr>
          <w:sz w:val="32"/>
          <w:szCs w:val="32"/>
        </w:rPr>
      </w:pPr>
    </w:p>
    <w:p>
      <w:pPr>
        <w:pStyle w:val="14"/>
        <w:jc w:val="center"/>
        <w:rPr>
          <w:sz w:val="32"/>
          <w:szCs w:val="32"/>
        </w:rPr>
      </w:pPr>
    </w:p>
    <w:p>
      <w:pPr>
        <w:pStyle w:val="14"/>
        <w:spacing w:line="500" w:lineRule="exact"/>
        <w:jc w:val="both"/>
        <w:rPr>
          <w:b/>
          <w:sz w:val="36"/>
          <w:szCs w:val="28"/>
        </w:rPr>
      </w:pPr>
    </w:p>
    <w:p>
      <w:pPr>
        <w:pStyle w:val="14"/>
        <w:spacing w:line="500" w:lineRule="exact"/>
        <w:jc w:val="center"/>
        <w:rPr>
          <w:b/>
          <w:sz w:val="36"/>
          <w:szCs w:val="28"/>
        </w:rPr>
      </w:pPr>
    </w:p>
    <w:p>
      <w:pPr>
        <w:pStyle w:val="14"/>
        <w:spacing w:line="500" w:lineRule="exact"/>
        <w:jc w:val="center"/>
        <w:rPr>
          <w:b/>
          <w:bCs w:val="0"/>
          <w:sz w:val="36"/>
          <w:szCs w:val="28"/>
        </w:rPr>
      </w:pPr>
      <w:r>
        <w:rPr>
          <w:rFonts w:hint="eastAsia"/>
          <w:b/>
          <w:bCs w:val="0"/>
          <w:sz w:val="36"/>
          <w:szCs w:val="28"/>
        </w:rPr>
        <w:t>目</w:t>
      </w:r>
      <w:r>
        <w:rPr>
          <w:rFonts w:hint="eastAsia"/>
          <w:b/>
          <w:bCs w:val="0"/>
          <w:sz w:val="36"/>
          <w:szCs w:val="28"/>
          <w:lang w:val="en-US" w:eastAsia="zh-CN"/>
        </w:rPr>
        <w:t xml:space="preserve">  </w:t>
      </w:r>
      <w:r>
        <w:rPr>
          <w:rFonts w:hint="eastAsia"/>
          <w:b/>
          <w:bCs w:val="0"/>
          <w:sz w:val="36"/>
          <w:szCs w:val="28"/>
        </w:rPr>
        <w:t>录</w:t>
      </w:r>
    </w:p>
    <w:p>
      <w:pPr>
        <w:pStyle w:val="14"/>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第一部分</w:t>
      </w:r>
      <w:r>
        <w:rPr>
          <w:rFonts w:hint="eastAsia" w:ascii="楷体_GB2312" w:hAnsi="楷体_GB2312" w:eastAsia="楷体_GB2312" w:cs="楷体_GB2312"/>
          <w:b/>
          <w:sz w:val="32"/>
          <w:szCs w:val="32"/>
          <w:lang w:val="en-US" w:eastAsia="zh-CN"/>
        </w:rPr>
        <w:t xml:space="preserve"> 永州师范高等专科学校</w:t>
      </w:r>
      <w:r>
        <w:rPr>
          <w:rFonts w:hint="eastAsia" w:ascii="楷体_GB2312" w:hAnsi="楷体_GB2312" w:eastAsia="楷体_GB2312" w:cs="楷体_GB2312"/>
          <w:b/>
          <w:sz w:val="32"/>
          <w:szCs w:val="32"/>
        </w:rPr>
        <w:t>概况</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4"/>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第二部分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六、一般公共预算财政拨款基本支出决算明细表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14"/>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第三部分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九、机关运行经费支出说明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十、一般性支出情况说明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十三、2021年度预算绩效情况说明</w:t>
      </w:r>
    </w:p>
    <w:p>
      <w:pPr>
        <w:pStyle w:val="14"/>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第四部分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名词解释</w:t>
      </w:r>
    </w:p>
    <w:p>
      <w:pPr>
        <w:pStyle w:val="14"/>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第五部分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 xml:space="preserve">第一部分 </w:t>
      </w:r>
    </w:p>
    <w:p>
      <w:pPr>
        <w:pStyle w:val="14"/>
        <w:jc w:val="center"/>
        <w:rPr>
          <w:sz w:val="84"/>
          <w:szCs w:val="84"/>
        </w:rPr>
      </w:pPr>
      <w:r>
        <w:rPr>
          <w:rFonts w:hint="eastAsia" w:ascii="方正小标宋_GBK" w:hAnsi="方正小标宋_GBK" w:eastAsia="方正小标宋_GBK" w:cs="方正小标宋_GBK"/>
          <w:sz w:val="72"/>
          <w:szCs w:val="72"/>
          <w:lang w:val="en-US" w:eastAsia="zh-CN"/>
        </w:rPr>
        <w:t>永州师范高等专科学校</w:t>
      </w:r>
      <w:r>
        <w:rPr>
          <w:rFonts w:hint="eastAsia" w:ascii="方正小标宋_GBK" w:hAnsi="方正小标宋_GBK" w:eastAsia="方正小标宋_GBK" w:cs="方正小标宋_GBK"/>
          <w:sz w:val="72"/>
          <w:szCs w:val="72"/>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5"/>
        <w:ind w:left="720" w:firstLine="0" w:firstLineChars="0"/>
        <w:jc w:val="left"/>
        <w:rPr>
          <w:rFonts w:ascii="黑体" w:hAnsi="黑体" w:eastAsia="黑体"/>
          <w:sz w:val="32"/>
          <w:szCs w:val="32"/>
        </w:rPr>
      </w:pPr>
    </w:p>
    <w:p>
      <w:pPr>
        <w:pStyle w:val="15"/>
        <w:ind w:left="720" w:firstLine="0" w:firstLineChars="0"/>
        <w:jc w:val="left"/>
        <w:rPr>
          <w:rFonts w:ascii="黑体" w:hAnsi="黑体" w:eastAsia="黑体"/>
          <w:sz w:val="32"/>
          <w:szCs w:val="32"/>
        </w:rPr>
      </w:pPr>
    </w:p>
    <w:p>
      <w:pPr>
        <w:pStyle w:val="15"/>
        <w:numPr>
          <w:ilvl w:val="0"/>
          <w:numId w:val="0"/>
        </w:numPr>
        <w:jc w:val="left"/>
        <w:rPr>
          <w:rFonts w:hint="eastAsia" w:ascii="楷体_GB2312" w:hAnsi="楷体_GB2312" w:eastAsia="楷体_GB2312" w:cs="楷体_GB2312"/>
          <w:b/>
          <w:bCs/>
          <w:sz w:val="32"/>
          <w:szCs w:val="32"/>
          <w:lang w:eastAsia="zh-CN"/>
        </w:rPr>
      </w:pPr>
    </w:p>
    <w:p>
      <w:pPr>
        <w:pStyle w:val="15"/>
        <w:numPr>
          <w:ilvl w:val="0"/>
          <w:numId w:val="0"/>
        </w:numPr>
        <w:jc w:val="left"/>
        <w:rPr>
          <w:rFonts w:hint="eastAsia" w:ascii="楷体_GB2312" w:hAnsi="楷体_GB2312" w:eastAsia="楷体_GB2312" w:cs="楷体_GB2312"/>
          <w:b/>
          <w:bCs/>
          <w:sz w:val="32"/>
          <w:szCs w:val="32"/>
          <w:lang w:eastAsia="zh-CN"/>
        </w:rPr>
      </w:pPr>
    </w:p>
    <w:p>
      <w:pPr>
        <w:pStyle w:val="15"/>
        <w:numPr>
          <w:ilvl w:val="0"/>
          <w:numId w:val="0"/>
        </w:numPr>
        <w:jc w:val="left"/>
        <w:rPr>
          <w:rFonts w:hint="eastAsia" w:ascii="楷体_GB2312" w:hAnsi="楷体_GB2312" w:eastAsia="楷体_GB2312" w:cs="楷体_GB2312"/>
          <w:b/>
          <w:bCs/>
          <w:sz w:val="32"/>
          <w:szCs w:val="32"/>
          <w:lang w:eastAsia="zh-CN"/>
        </w:rPr>
      </w:pPr>
      <w:bookmarkStart w:id="0" w:name="_GoBack"/>
      <w:bookmarkEnd w:id="0"/>
    </w:p>
    <w:p>
      <w:pPr>
        <w:pStyle w:val="15"/>
        <w:keepNext w:val="0"/>
        <w:keepLines w:val="0"/>
        <w:pageBreakBefore w:val="0"/>
        <w:numPr>
          <w:ilvl w:val="0"/>
          <w:numId w:val="1"/>
        </w:numPr>
        <w:kinsoku/>
        <w:wordWrap/>
        <w:overflowPunct/>
        <w:topLinePunct w:val="0"/>
        <w:autoSpaceDE/>
        <w:autoSpaceDN/>
        <w:bidi w:val="0"/>
        <w:spacing w:line="560" w:lineRule="exact"/>
        <w:ind w:leftChars="0" w:firstLine="960" w:firstLineChars="3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永州师范高等专科学校秉承“学高为师，身正为范”的校训，立足永州、面向全省、辐射周边省市，培养德智体美劳全面发展、“一专多能”、服务基础教育和经济社会发展的高素质人才。</w:t>
      </w:r>
    </w:p>
    <w:p>
      <w:pPr>
        <w:keepNext w:val="0"/>
        <w:keepLines w:val="0"/>
        <w:pageBreakBefore w:val="0"/>
        <w:widowControl/>
        <w:kinsoku/>
        <w:wordWrap/>
        <w:overflowPunct/>
        <w:topLinePunct w:val="0"/>
        <w:autoSpaceDE/>
        <w:autoSpaceDN/>
        <w:bidi w:val="0"/>
        <w:spacing w:line="560" w:lineRule="exact"/>
        <w:ind w:firstLine="960" w:firstLineChars="3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2"/>
          <w:sz w:val="32"/>
          <w:szCs w:val="32"/>
          <w:lang w:val="en-US" w:eastAsia="zh-CN" w:bidi="ar-SA"/>
        </w:rPr>
        <w:t>二、机构设置及决算单位构成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楷体_GB2312" w:hAnsi="楷体_GB2312" w:eastAsia="楷体_GB2312" w:cs="楷体_GB2312"/>
          <w:b/>
          <w:bCs w:val="0"/>
          <w:kern w:val="0"/>
          <w:sz w:val="32"/>
          <w:szCs w:val="32"/>
        </w:rPr>
        <w:t>（一）内设机构设置。</w:t>
      </w:r>
      <w:r>
        <w:rPr>
          <w:rFonts w:hint="eastAsia" w:ascii="仿宋_GB2312" w:hAnsi="仿宋_GB2312" w:eastAsia="仿宋_GB2312" w:cs="仿宋_GB2312"/>
          <w:bCs/>
          <w:kern w:val="0"/>
          <w:sz w:val="32"/>
          <w:szCs w:val="32"/>
          <w:lang w:val="en-US" w:eastAsia="zh-CN"/>
        </w:rPr>
        <w:t>永州师范高等专科学校内设机构包括：党政办、组织人事处、宣传统战办、纪检监督审计处、教务处、科研处、学生处、计划财务校产处、后勤基建处、招生就业处、督导室、安保法制处、继续教育部、工会、团委。</w:t>
      </w:r>
      <w:r>
        <w:rPr>
          <w:rFonts w:hint="eastAsia" w:ascii="仿宋_GB2312" w:hAnsi="仿宋" w:eastAsia="仿宋_GB2312" w:cs="仿宋_GB2312"/>
          <w:color w:val="000000"/>
          <w:kern w:val="2"/>
          <w:sz w:val="32"/>
          <w:szCs w:val="32"/>
          <w:lang w:val="en-US" w:eastAsia="zh-CN" w:bidi="ar"/>
        </w:rPr>
        <w:t>市编办核定本部门编制450人，</w:t>
      </w:r>
      <w:r>
        <w:rPr>
          <w:rFonts w:hint="eastAsia" w:ascii="仿宋_GB2312" w:eastAsia="仿宋_GB2312"/>
          <w:sz w:val="32"/>
          <w:szCs w:val="32"/>
          <w:lang w:val="en-US" w:eastAsia="zh-CN"/>
        </w:rPr>
        <w:t>现有</w:t>
      </w:r>
      <w:r>
        <w:rPr>
          <w:rFonts w:hint="eastAsia" w:ascii="仿宋_GB2312" w:eastAsia="仿宋_GB2312"/>
          <w:sz w:val="32"/>
          <w:szCs w:val="32"/>
        </w:rPr>
        <w:t>在职</w:t>
      </w:r>
      <w:r>
        <w:rPr>
          <w:rFonts w:hint="eastAsia" w:ascii="仿宋_GB2312" w:eastAsia="仿宋_GB2312"/>
          <w:sz w:val="32"/>
          <w:szCs w:val="32"/>
          <w:lang w:val="en-US" w:eastAsia="zh-CN"/>
        </w:rPr>
        <w:t>在编</w:t>
      </w:r>
      <w:r>
        <w:rPr>
          <w:rFonts w:hint="eastAsia" w:ascii="仿宋_GB2312" w:eastAsia="仿宋_GB2312"/>
          <w:sz w:val="32"/>
          <w:szCs w:val="32"/>
        </w:rPr>
        <w:t>人员</w:t>
      </w:r>
      <w:r>
        <w:rPr>
          <w:rFonts w:hint="eastAsia" w:ascii="仿宋_GB2312" w:eastAsia="仿宋_GB2312"/>
          <w:sz w:val="32"/>
          <w:szCs w:val="32"/>
          <w:lang w:val="en-US" w:eastAsia="zh-CN"/>
        </w:rPr>
        <w:t>297</w:t>
      </w:r>
      <w:r>
        <w:rPr>
          <w:rFonts w:hint="eastAsia" w:ascii="仿宋_GB2312" w:eastAsia="仿宋_GB2312"/>
          <w:sz w:val="32"/>
          <w:szCs w:val="32"/>
        </w:rPr>
        <w:t>人，退休人员</w:t>
      </w:r>
      <w:r>
        <w:rPr>
          <w:rFonts w:hint="eastAsia" w:ascii="仿宋_GB2312" w:eastAsia="仿宋_GB2312"/>
          <w:sz w:val="32"/>
          <w:szCs w:val="32"/>
          <w:lang w:val="en-US" w:eastAsia="zh-CN"/>
        </w:rPr>
        <w:t>97</w:t>
      </w:r>
      <w:r>
        <w:rPr>
          <w:rFonts w:hint="eastAsia" w:ascii="仿宋_GB2312" w:eastAsia="仿宋_GB2312"/>
          <w:sz w:val="32"/>
          <w:szCs w:val="32"/>
        </w:rPr>
        <w:t>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Cs/>
          <w:kern w:val="0"/>
          <w:sz w:val="32"/>
          <w:szCs w:val="32"/>
          <w:lang w:val="en-US" w:eastAsia="zh-CN"/>
        </w:rPr>
      </w:pPr>
      <w:r>
        <w:rPr>
          <w:rFonts w:hint="eastAsia" w:ascii="楷体_GB2312" w:hAnsi="楷体_GB2312" w:eastAsia="楷体_GB2312" w:cs="楷体_GB2312"/>
          <w:b/>
          <w:bCs w:val="0"/>
          <w:kern w:val="0"/>
          <w:sz w:val="32"/>
          <w:szCs w:val="32"/>
        </w:rPr>
        <w:t>（二）决算单位构成。</w:t>
      </w:r>
      <w:r>
        <w:rPr>
          <w:rFonts w:hint="eastAsia" w:ascii="仿宋_GB2312" w:hAnsi="仿宋_GB2312" w:eastAsia="仿宋_GB2312" w:cs="仿宋_GB2312"/>
          <w:bCs/>
          <w:kern w:val="0"/>
          <w:sz w:val="32"/>
          <w:szCs w:val="32"/>
          <w:lang w:val="en-US" w:eastAsia="zh-CN"/>
        </w:rPr>
        <w:t>永州师范高等专科学校</w:t>
      </w:r>
      <w:r>
        <w:rPr>
          <w:rFonts w:hint="eastAsia" w:ascii="仿宋_GB2312" w:hAnsi="仿宋_GB2312" w:eastAsia="仿宋_GB2312" w:cs="仿宋_GB2312"/>
          <w:bCs/>
          <w:kern w:val="0"/>
          <w:sz w:val="32"/>
          <w:szCs w:val="32"/>
        </w:rPr>
        <w:t>2021年部门决算汇总公开单位构成包括：</w:t>
      </w:r>
      <w:r>
        <w:rPr>
          <w:rFonts w:hint="eastAsia" w:ascii="仿宋_GB2312" w:hAnsi="仿宋_GB2312" w:eastAsia="仿宋_GB2312" w:cs="仿宋_GB2312"/>
          <w:bCs/>
          <w:kern w:val="0"/>
          <w:sz w:val="32"/>
          <w:szCs w:val="32"/>
          <w:lang w:val="en-US" w:eastAsia="zh-CN"/>
        </w:rPr>
        <w:t>永州师范高等专科学校本部。</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2"/>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rFonts w:hint="eastAsia" w:ascii="方正小标宋_GBK" w:hAnsi="方正小标宋_GBK" w:eastAsia="方正小标宋_GBK" w:cs="方正小标宋_GBK"/>
          <w:color w:val="000000"/>
          <w:kern w:val="0"/>
          <w:sz w:val="72"/>
          <w:szCs w:val="72"/>
          <w:lang w:val="en-US" w:eastAsia="zh-CN" w:bidi="ar-SA"/>
        </w:rPr>
      </w:pPr>
    </w:p>
    <w:p>
      <w:pPr>
        <w:jc w:val="center"/>
        <w:rPr>
          <w:rFonts w:hint="eastAsia" w:ascii="方正小标宋_GBK" w:hAnsi="方正小标宋_GBK" w:eastAsia="方正小标宋_GBK" w:cs="方正小标宋_GBK"/>
          <w:color w:val="000000"/>
          <w:kern w:val="0"/>
          <w:sz w:val="72"/>
          <w:szCs w:val="72"/>
          <w:lang w:val="en-US" w:eastAsia="zh-CN" w:bidi="ar-SA"/>
        </w:rPr>
      </w:pPr>
    </w:p>
    <w:p>
      <w:pPr>
        <w:pStyle w:val="2"/>
        <w:rPr>
          <w:rFonts w:hint="eastAsia"/>
          <w:lang w:val="en-US" w:eastAsia="zh-CN"/>
        </w:rPr>
      </w:pP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第二部分</w:t>
      </w: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部门决算表</w:t>
      </w:r>
    </w:p>
    <w:p>
      <w:pPr>
        <w:jc w:val="center"/>
        <w:rPr>
          <w:rFonts w:hint="eastAsia" w:ascii="楷体_GB2312" w:hAnsi="楷体_GB2312" w:eastAsia="楷体_GB2312" w:cs="楷体_GB2312"/>
          <w:b/>
          <w:bCs/>
          <w:color w:val="000000"/>
          <w:kern w:val="0"/>
          <w:sz w:val="52"/>
          <w:szCs w:val="52"/>
          <w:lang w:val="en-US" w:eastAsia="zh-CN" w:bidi="ar-SA"/>
        </w:rPr>
      </w:pPr>
      <w:r>
        <w:rPr>
          <w:rFonts w:hint="eastAsia" w:ascii="楷体_GB2312" w:hAnsi="楷体_GB2312" w:eastAsia="楷体_GB2312" w:cs="楷体_GB2312"/>
          <w:b/>
          <w:bCs/>
          <w:color w:val="000000"/>
          <w:kern w:val="0"/>
          <w:sz w:val="52"/>
          <w:szCs w:val="52"/>
          <w:lang w:val="en-US" w:eastAsia="zh-CN" w:bidi="ar-SA"/>
        </w:rPr>
        <w:t>（详见附表）</w:t>
      </w:r>
    </w:p>
    <w:p>
      <w:pPr>
        <w:jc w:val="center"/>
        <w:rPr>
          <w:rFonts w:hint="eastAsia" w:ascii="仿宋_GB2312" w:hAnsi="仿宋_GB2312" w:eastAsia="仿宋_GB2312" w:cs="仿宋_GB2312"/>
          <w:b w:val="0"/>
          <w:bCs w:val="0"/>
          <w:color w:val="000000"/>
          <w:kern w:val="0"/>
          <w:sz w:val="44"/>
          <w:szCs w:val="44"/>
          <w:lang w:val="en-US" w:eastAsia="zh-CN" w:bidi="ar-SA"/>
        </w:rPr>
      </w:pPr>
    </w:p>
    <w:p>
      <w:pPr>
        <w:jc w:val="center"/>
        <w:rPr>
          <w:rFonts w:hint="eastAsia" w:ascii="仿宋_GB2312" w:hAnsi="仿宋_GB2312" w:eastAsia="仿宋_GB2312" w:cs="仿宋_GB2312"/>
          <w:b/>
          <w:bCs/>
          <w:color w:val="000000"/>
          <w:kern w:val="0"/>
          <w:sz w:val="36"/>
          <w:szCs w:val="36"/>
          <w:lang w:val="en-US" w:eastAsia="zh-CN" w:bidi="ar-SA"/>
        </w:rPr>
      </w:pPr>
    </w:p>
    <w:p>
      <w:pPr>
        <w:jc w:val="center"/>
        <w:rPr>
          <w:rFonts w:hint="eastAsia" w:ascii="仿宋_GB2312" w:hAnsi="仿宋_GB2312" w:eastAsia="仿宋_GB2312" w:cs="仿宋_GB2312"/>
          <w:b/>
          <w:bCs/>
          <w:color w:val="000000"/>
          <w:kern w:val="0"/>
          <w:sz w:val="36"/>
          <w:szCs w:val="36"/>
          <w:lang w:val="en-US" w:eastAsia="zh-CN" w:bidi="ar-SA"/>
        </w:rPr>
      </w:pPr>
    </w:p>
    <w:p>
      <w:pPr>
        <w:pStyle w:val="14"/>
        <w:rPr>
          <w:sz w:val="72"/>
          <w:szCs w:val="72"/>
        </w:rPr>
      </w:pPr>
    </w:p>
    <w:p>
      <w:pPr>
        <w:pStyle w:val="14"/>
        <w:rPr>
          <w:sz w:val="72"/>
          <w:szCs w:val="72"/>
        </w:rPr>
      </w:pPr>
    </w:p>
    <w:p>
      <w:pPr>
        <w:pStyle w:val="14"/>
        <w:rPr>
          <w:sz w:val="72"/>
          <w:szCs w:val="72"/>
        </w:rPr>
      </w:pPr>
    </w:p>
    <w:p>
      <w:pPr>
        <w:pStyle w:val="14"/>
        <w:rPr>
          <w:sz w:val="72"/>
          <w:szCs w:val="72"/>
        </w:rPr>
      </w:pPr>
    </w:p>
    <w:p>
      <w:pPr>
        <w:pStyle w:val="14"/>
        <w:jc w:val="center"/>
        <w:rPr>
          <w:sz w:val="72"/>
          <w:szCs w:val="72"/>
        </w:rPr>
      </w:pPr>
    </w:p>
    <w:p>
      <w:pPr>
        <w:pStyle w:val="14"/>
        <w:jc w:val="center"/>
        <w:rPr>
          <w:rFonts w:hint="eastAsia"/>
          <w:sz w:val="72"/>
          <w:szCs w:val="72"/>
          <w:lang w:val="en-US" w:eastAsia="zh-CN"/>
        </w:rPr>
      </w:pPr>
      <w:r>
        <w:rPr>
          <w:rFonts w:hint="eastAsia"/>
          <w:sz w:val="72"/>
          <w:szCs w:val="72"/>
          <w:lang w:val="en-US" w:eastAsia="zh-CN"/>
        </w:rPr>
        <w:t xml:space="preserve"> </w:t>
      </w:r>
    </w:p>
    <w:p>
      <w:pPr>
        <w:pStyle w:val="14"/>
        <w:jc w:val="center"/>
        <w:rPr>
          <w:rFonts w:hint="eastAsia"/>
          <w:sz w:val="72"/>
          <w:szCs w:val="72"/>
          <w:lang w:val="en-US" w:eastAsia="zh-CN"/>
        </w:rPr>
      </w:pPr>
    </w:p>
    <w:p>
      <w:pPr>
        <w:pStyle w:val="14"/>
        <w:jc w:val="center"/>
        <w:rPr>
          <w:rFonts w:hint="eastAsia"/>
          <w:sz w:val="72"/>
          <w:szCs w:val="72"/>
          <w:lang w:val="en-US" w:eastAsia="zh-CN"/>
        </w:rPr>
      </w:pPr>
    </w:p>
    <w:p>
      <w:pPr>
        <w:pStyle w:val="14"/>
        <w:jc w:val="center"/>
        <w:rPr>
          <w:rFonts w:hint="eastAsia"/>
          <w:sz w:val="72"/>
          <w:szCs w:val="72"/>
          <w:lang w:val="en-US" w:eastAsia="zh-CN"/>
        </w:rPr>
      </w:pPr>
    </w:p>
    <w:p>
      <w:pPr>
        <w:pStyle w:val="14"/>
        <w:jc w:val="center"/>
        <w:rPr>
          <w:rFonts w:hint="eastAsia"/>
          <w:sz w:val="72"/>
          <w:szCs w:val="72"/>
          <w:lang w:val="en-US" w:eastAsia="zh-CN"/>
        </w:rPr>
      </w:pPr>
    </w:p>
    <w:p>
      <w:pPr>
        <w:pStyle w:val="14"/>
        <w:jc w:val="center"/>
        <w:rPr>
          <w:rFonts w:hint="eastAsia"/>
          <w:sz w:val="72"/>
          <w:szCs w:val="72"/>
          <w:lang w:val="en-US" w:eastAsia="zh-CN"/>
        </w:rPr>
      </w:pP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4"/>
        <w:jc w:val="center"/>
        <w:rPr>
          <w:sz w:val="70"/>
          <w:szCs w:val="70"/>
        </w:rPr>
      </w:pPr>
      <w:r>
        <w:rPr>
          <w:rFonts w:hint="eastAsia" w:ascii="方正小标宋_GBK" w:hAnsi="方正小标宋_GBK" w:eastAsia="方正小标宋_GBK" w:cs="方正小标宋_GBK"/>
          <w:sz w:val="72"/>
          <w:szCs w:val="72"/>
        </w:rPr>
        <w:t>2021年度部门决算情况说明</w:t>
      </w:r>
    </w:p>
    <w:p>
      <w:pPr>
        <w:widowControl/>
        <w:jc w:val="left"/>
        <w:rPr>
          <w:sz w:val="70"/>
          <w:szCs w:val="70"/>
        </w:rPr>
      </w:pPr>
    </w:p>
    <w:p>
      <w:pPr>
        <w:widowControl/>
        <w:jc w:val="left"/>
        <w:rPr>
          <w:sz w:val="70"/>
          <w:szCs w:val="70"/>
        </w:rPr>
      </w:pPr>
    </w:p>
    <w:p>
      <w:pPr>
        <w:widowControl/>
        <w:jc w:val="left"/>
        <w:rPr>
          <w:sz w:val="70"/>
          <w:szCs w:val="70"/>
        </w:rPr>
      </w:pPr>
    </w:p>
    <w:p>
      <w:pPr>
        <w:widowControl/>
        <w:jc w:val="left"/>
        <w:rPr>
          <w:sz w:val="70"/>
          <w:szCs w:val="70"/>
        </w:rPr>
      </w:pPr>
    </w:p>
    <w:p>
      <w:pPr>
        <w:widowControl/>
        <w:jc w:val="left"/>
        <w:rPr>
          <w:sz w:val="70"/>
          <w:szCs w:val="70"/>
        </w:rPr>
      </w:pPr>
    </w:p>
    <w:p>
      <w:pPr>
        <w:widowControl/>
        <w:jc w:val="left"/>
        <w:rPr>
          <w:sz w:val="70"/>
          <w:szCs w:val="70"/>
        </w:rPr>
      </w:pPr>
    </w:p>
    <w:p>
      <w:pPr>
        <w:widowControl/>
        <w:jc w:val="left"/>
        <w:rPr>
          <w:sz w:val="70"/>
          <w:szCs w:val="70"/>
        </w:rPr>
      </w:pPr>
    </w:p>
    <w:p>
      <w:pPr>
        <w:widowControl/>
        <w:jc w:val="left"/>
        <w:rPr>
          <w:sz w:val="70"/>
          <w:szCs w:val="70"/>
        </w:rPr>
      </w:pPr>
    </w:p>
    <w:p>
      <w:pPr>
        <w:pStyle w:val="2"/>
        <w:ind w:left="0" w:leftChars="0" w:firstLine="0" w:firstLineChars="0"/>
      </w:pPr>
    </w:p>
    <w:p/>
    <w:p>
      <w:pPr>
        <w:pStyle w:val="14"/>
        <w:ind w:firstLine="640" w:firstLineChars="200"/>
        <w:rPr>
          <w:rFonts w:hAnsi="黑体"/>
          <w:b w:val="0"/>
          <w:bCs/>
          <w:sz w:val="32"/>
          <w:szCs w:val="32"/>
        </w:rPr>
      </w:pPr>
      <w:r>
        <w:rPr>
          <w:rFonts w:hint="eastAsia" w:hAnsi="黑体"/>
          <w:b w:val="0"/>
          <w:bCs/>
          <w:sz w:val="32"/>
          <w:szCs w:val="32"/>
        </w:rPr>
        <w:t>一、收入支出决算总体情况说明</w:t>
      </w:r>
    </w:p>
    <w:p>
      <w:pPr>
        <w:pStyle w:val="14"/>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7640.54</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152.38</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1.96</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val="en-US" w:eastAsia="zh-CN"/>
        </w:rPr>
        <w:t>事业收入减少</w:t>
      </w:r>
      <w:r>
        <w:rPr>
          <w:rFonts w:hint="eastAsia" w:ascii="仿宋_GB2312" w:hAnsi="仿宋_GB2312" w:eastAsia="仿宋_GB2312" w:cs="仿宋_GB2312"/>
          <w:sz w:val="32"/>
          <w:szCs w:val="32"/>
          <w:lang w:eastAsia="zh-CN"/>
        </w:rPr>
        <w:t>。</w:t>
      </w:r>
    </w:p>
    <w:p>
      <w:pPr>
        <w:pStyle w:val="14"/>
        <w:ind w:firstLine="640" w:firstLineChars="200"/>
        <w:rPr>
          <w:rFonts w:hint="eastAsia" w:asciiTheme="minorEastAsia" w:hAnsiTheme="minorEastAsia" w:eastAsiaTheme="minorEastAsia"/>
          <w:sz w:val="32"/>
          <w:szCs w:val="32"/>
          <w:lang w:eastAsia="zh-CN"/>
        </w:rPr>
      </w:pPr>
      <w:r>
        <w:rPr>
          <w:rFonts w:hint="eastAsia" w:ascii="仿宋_GB2312" w:hAnsi="仿宋_GB2312" w:eastAsia="仿宋_GB2312" w:cs="仿宋_GB2312"/>
          <w:sz w:val="32"/>
          <w:szCs w:val="32"/>
        </w:rPr>
        <w:t>2021年度</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7640.54</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152.38</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1.96</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val="en-US" w:eastAsia="zh-CN"/>
        </w:rPr>
        <w:t>教育支出减少</w:t>
      </w:r>
      <w:r>
        <w:rPr>
          <w:rFonts w:hint="eastAsia" w:ascii="仿宋_GB2312" w:hAnsi="仿宋_GB2312" w:eastAsia="仿宋_GB2312" w:cs="仿宋_GB2312"/>
          <w:sz w:val="32"/>
          <w:szCs w:val="32"/>
          <w:lang w:eastAsia="zh-CN"/>
        </w:rPr>
        <w:t>。</w:t>
      </w:r>
    </w:p>
    <w:p>
      <w:pPr>
        <w:pStyle w:val="14"/>
        <w:ind w:firstLine="640" w:firstLineChars="200"/>
        <w:rPr>
          <w:rFonts w:hAnsi="黑体"/>
          <w:b w:val="0"/>
          <w:bCs/>
          <w:sz w:val="32"/>
          <w:szCs w:val="32"/>
        </w:rPr>
      </w:pPr>
      <w:r>
        <w:rPr>
          <w:rFonts w:hint="eastAsia" w:hAnsi="黑体"/>
          <w:b w:val="0"/>
          <w:bCs/>
          <w:sz w:val="32"/>
          <w:szCs w:val="32"/>
        </w:rPr>
        <w:t>二、收入决算情况说明</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全年</w:t>
      </w:r>
      <w:r>
        <w:rPr>
          <w:rFonts w:hint="eastAsia" w:ascii="仿宋_GB2312" w:hAnsi="仿宋_GB2312" w:eastAsia="仿宋_GB2312" w:cs="仿宋_GB2312"/>
          <w:b w:val="0"/>
          <w:bCs w:val="0"/>
          <w:sz w:val="32"/>
          <w:szCs w:val="32"/>
        </w:rPr>
        <w:t>收入合计</w:t>
      </w:r>
      <w:r>
        <w:rPr>
          <w:rFonts w:hint="eastAsia" w:ascii="仿宋_GB2312" w:hAnsi="仿宋_GB2312" w:eastAsia="仿宋_GB2312" w:cs="仿宋_GB2312"/>
          <w:b w:val="0"/>
          <w:bCs w:val="0"/>
          <w:sz w:val="32"/>
          <w:szCs w:val="32"/>
          <w:lang w:val="en-US" w:eastAsia="zh-CN"/>
        </w:rPr>
        <w:t>7514.61</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其中：财政拨款收入</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64.87</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上级补助收入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%；事业收入</w:t>
      </w:r>
      <w:r>
        <w:rPr>
          <w:rFonts w:hint="eastAsia" w:ascii="仿宋_GB2312" w:hAnsi="仿宋_GB2312" w:eastAsia="仿宋_GB2312" w:cs="仿宋_GB2312"/>
          <w:b w:val="0"/>
          <w:bCs w:val="0"/>
          <w:sz w:val="32"/>
          <w:szCs w:val="32"/>
          <w:lang w:val="en-US" w:eastAsia="zh-CN"/>
        </w:rPr>
        <w:t>2640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35.13</w:t>
      </w:r>
      <w:r>
        <w:rPr>
          <w:rFonts w:hint="eastAsia" w:ascii="仿宋_GB2312" w:hAnsi="仿宋_GB2312" w:eastAsia="仿宋_GB2312" w:cs="仿宋_GB2312"/>
          <w:b w:val="0"/>
          <w:bCs w:val="0"/>
          <w:sz w:val="32"/>
          <w:szCs w:val="32"/>
        </w:rPr>
        <w:t>%；经营收入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%；附属单位上缴收入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%；其他收入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14"/>
        <w:ind w:firstLine="640" w:firstLineChars="200"/>
        <w:rPr>
          <w:rFonts w:hAnsi="黑体"/>
          <w:b w:val="0"/>
          <w:bCs/>
          <w:sz w:val="32"/>
          <w:szCs w:val="32"/>
        </w:rPr>
      </w:pPr>
      <w:r>
        <w:rPr>
          <w:rFonts w:hint="eastAsia" w:hAnsi="黑体"/>
          <w:b w:val="0"/>
          <w:bCs/>
          <w:sz w:val="32"/>
          <w:szCs w:val="32"/>
        </w:rPr>
        <w:t>三、支出决算情况说明</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支出合计</w:t>
      </w:r>
      <w:r>
        <w:rPr>
          <w:rFonts w:hint="eastAsia" w:ascii="仿宋_GB2312" w:hAnsi="仿宋_GB2312" w:eastAsia="仿宋_GB2312" w:cs="仿宋_GB2312"/>
          <w:b w:val="0"/>
          <w:bCs w:val="0"/>
          <w:sz w:val="32"/>
          <w:szCs w:val="32"/>
          <w:lang w:val="en-US" w:eastAsia="zh-CN"/>
        </w:rPr>
        <w:t>7514.61</w:t>
      </w:r>
      <w:r>
        <w:rPr>
          <w:rFonts w:hint="eastAsia" w:ascii="仿宋_GB2312" w:hAnsi="仿宋_GB2312" w:eastAsia="仿宋_GB2312" w:cs="仿宋_GB2312"/>
          <w:b w:val="0"/>
          <w:bCs w:val="0"/>
          <w:sz w:val="32"/>
          <w:szCs w:val="32"/>
        </w:rPr>
        <w:t>万元，其中：基本支出</w:t>
      </w:r>
      <w:r>
        <w:rPr>
          <w:rFonts w:hint="eastAsia" w:ascii="仿宋_GB2312" w:hAnsi="仿宋_GB2312" w:eastAsia="仿宋_GB2312" w:cs="仿宋_GB2312"/>
          <w:b w:val="0"/>
          <w:bCs w:val="0"/>
          <w:sz w:val="32"/>
          <w:szCs w:val="32"/>
          <w:lang w:val="en-US" w:eastAsia="zh-CN"/>
        </w:rPr>
        <w:t>6085.43</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80.98</w:t>
      </w:r>
      <w:r>
        <w:rPr>
          <w:rFonts w:hint="eastAsia" w:ascii="仿宋_GB2312" w:hAnsi="仿宋_GB2312" w:eastAsia="仿宋_GB2312" w:cs="仿宋_GB2312"/>
          <w:b w:val="0"/>
          <w:bCs w:val="0"/>
          <w:sz w:val="32"/>
          <w:szCs w:val="32"/>
        </w:rPr>
        <w:t>%；项目支出</w:t>
      </w:r>
      <w:r>
        <w:rPr>
          <w:rFonts w:hint="eastAsia" w:ascii="仿宋_GB2312" w:hAnsi="仿宋_GB2312" w:eastAsia="仿宋_GB2312" w:cs="仿宋_GB2312"/>
          <w:b w:val="0"/>
          <w:bCs w:val="0"/>
          <w:sz w:val="32"/>
          <w:szCs w:val="32"/>
          <w:lang w:val="en-US" w:eastAsia="zh-CN"/>
        </w:rPr>
        <w:t>1429.19</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19.02</w:t>
      </w:r>
      <w:r>
        <w:rPr>
          <w:rFonts w:hint="eastAsia" w:ascii="仿宋_GB2312" w:hAnsi="仿宋_GB2312" w:eastAsia="仿宋_GB2312" w:cs="仿宋_GB2312"/>
          <w:b w:val="0"/>
          <w:bCs w:val="0"/>
          <w:sz w:val="32"/>
          <w:szCs w:val="32"/>
        </w:rPr>
        <w:t>%；上缴上级支出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%；经营支出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%；对附属单位补助支出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14"/>
        <w:ind w:firstLine="640" w:firstLineChars="200"/>
        <w:rPr>
          <w:rFonts w:hAnsi="黑体"/>
          <w:b w:val="0"/>
          <w:bCs/>
          <w:sz w:val="32"/>
          <w:szCs w:val="32"/>
        </w:rPr>
      </w:pPr>
      <w:r>
        <w:rPr>
          <w:rFonts w:hint="eastAsia" w:hAnsi="黑体"/>
          <w:b w:val="0"/>
          <w:bCs/>
          <w:sz w:val="32"/>
          <w:szCs w:val="32"/>
        </w:rPr>
        <w:t>四、财政拨款收入支出决算总体情况说明</w:t>
      </w:r>
    </w:p>
    <w:p>
      <w:pPr>
        <w:pStyle w:val="14"/>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2021年度财政拨款收</w:t>
      </w:r>
      <w:r>
        <w:rPr>
          <w:rFonts w:hint="eastAsia" w:ascii="仿宋_GB2312" w:hAnsi="仿宋_GB2312" w:eastAsia="仿宋_GB2312" w:cs="仿宋_GB2312"/>
          <w:b w:val="0"/>
          <w:bCs w:val="0"/>
          <w:sz w:val="32"/>
          <w:szCs w:val="32"/>
          <w:lang w:eastAsia="zh-CN"/>
        </w:rPr>
        <w:t>入</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万元，与上年相比，增加</w:t>
      </w:r>
      <w:r>
        <w:rPr>
          <w:rFonts w:hint="eastAsia" w:ascii="仿宋_GB2312" w:hAnsi="仿宋_GB2312" w:eastAsia="仿宋_GB2312" w:cs="仿宋_GB2312"/>
          <w:b w:val="0"/>
          <w:bCs w:val="0"/>
          <w:sz w:val="32"/>
          <w:szCs w:val="32"/>
          <w:lang w:val="en-US" w:eastAsia="zh-CN"/>
        </w:rPr>
        <w:t>523.15</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12.02</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b w:val="0"/>
          <w:bCs w:val="0"/>
          <w:sz w:val="32"/>
          <w:szCs w:val="32"/>
          <w:lang w:val="en-US" w:eastAsia="zh-CN"/>
        </w:rPr>
        <w:t>教职工人数增加，人员经费拨款增加</w:t>
      </w:r>
      <w:r>
        <w:rPr>
          <w:rFonts w:hint="eastAsia" w:ascii="仿宋_GB2312" w:hAnsi="仿宋_GB2312" w:eastAsia="仿宋_GB2312" w:cs="仿宋_GB2312"/>
          <w:b w:val="0"/>
          <w:bCs w:val="0"/>
          <w:sz w:val="32"/>
          <w:szCs w:val="32"/>
          <w:lang w:eastAsia="zh-CN"/>
        </w:rPr>
        <w:t>。</w:t>
      </w:r>
    </w:p>
    <w:p>
      <w:pPr>
        <w:pStyle w:val="14"/>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万元，与上年相比，增加</w:t>
      </w:r>
      <w:r>
        <w:rPr>
          <w:rFonts w:hint="eastAsia" w:ascii="仿宋_GB2312" w:hAnsi="仿宋_GB2312" w:eastAsia="仿宋_GB2312" w:cs="仿宋_GB2312"/>
          <w:b w:val="0"/>
          <w:bCs w:val="0"/>
          <w:sz w:val="32"/>
          <w:szCs w:val="32"/>
          <w:lang w:val="en-US" w:eastAsia="zh-CN"/>
        </w:rPr>
        <w:t>523.15</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12.02</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b w:val="0"/>
          <w:bCs w:val="0"/>
          <w:sz w:val="32"/>
          <w:szCs w:val="32"/>
          <w:lang w:val="en-US" w:eastAsia="zh-CN"/>
        </w:rPr>
        <w:t>教职工人数增加，人员经费支出增加</w:t>
      </w:r>
      <w:r>
        <w:rPr>
          <w:rFonts w:hint="eastAsia" w:ascii="仿宋_GB2312" w:hAnsi="仿宋_GB2312" w:eastAsia="仿宋_GB2312" w:cs="仿宋_GB2312"/>
          <w:b w:val="0"/>
          <w:bCs w:val="0"/>
          <w:sz w:val="32"/>
          <w:szCs w:val="32"/>
          <w:lang w:eastAsia="zh-CN"/>
        </w:rPr>
        <w:t>。</w:t>
      </w:r>
    </w:p>
    <w:p>
      <w:pPr>
        <w:pStyle w:val="14"/>
        <w:numPr>
          <w:ilvl w:val="0"/>
          <w:numId w:val="0"/>
        </w:numPr>
        <w:ind w:firstLine="640" w:firstLineChars="200"/>
        <w:rPr>
          <w:rFonts w:hint="eastAsia" w:hAnsi="黑体"/>
          <w:b w:val="0"/>
          <w:bCs/>
          <w:sz w:val="32"/>
          <w:szCs w:val="32"/>
        </w:rPr>
      </w:pPr>
      <w:r>
        <w:rPr>
          <w:rFonts w:hint="eastAsia" w:hAnsi="黑体"/>
          <w:b w:val="0"/>
          <w:bCs/>
          <w:sz w:val="32"/>
          <w:szCs w:val="32"/>
          <w:lang w:val="en-US" w:eastAsia="zh-CN"/>
        </w:rPr>
        <w:t xml:space="preserve">五、 </w:t>
      </w:r>
      <w:r>
        <w:rPr>
          <w:rFonts w:hint="eastAsia" w:hAnsi="黑体"/>
          <w:b w:val="0"/>
          <w:bCs/>
          <w:sz w:val="32"/>
          <w:szCs w:val="32"/>
        </w:rPr>
        <w:t>一般公共预算财政拨款支出决算情况说明</w:t>
      </w:r>
    </w:p>
    <w:p>
      <w:pPr>
        <w:pStyle w:val="14"/>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（一）财政拨款支出决算总体情况</w:t>
      </w:r>
    </w:p>
    <w:p>
      <w:pPr>
        <w:pStyle w:val="14"/>
        <w:ind w:firstLine="640" w:firstLineChars="200"/>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万元，占本年支出合计的</w:t>
      </w:r>
      <w:r>
        <w:rPr>
          <w:rFonts w:hint="eastAsia" w:ascii="仿宋_GB2312" w:hAnsi="仿宋_GB2312" w:eastAsia="仿宋_GB2312" w:cs="仿宋_GB2312"/>
          <w:b w:val="0"/>
          <w:bCs w:val="0"/>
          <w:sz w:val="32"/>
          <w:szCs w:val="32"/>
          <w:lang w:val="en-US" w:eastAsia="zh-CN"/>
        </w:rPr>
        <w:t>64.87</w:t>
      </w:r>
      <w:r>
        <w:rPr>
          <w:rFonts w:hint="eastAsia" w:ascii="仿宋_GB2312" w:hAnsi="仿宋_GB2312" w:eastAsia="仿宋_GB2312" w:cs="仿宋_GB2312"/>
          <w:b w:val="0"/>
          <w:bCs w:val="0"/>
          <w:sz w:val="32"/>
          <w:szCs w:val="32"/>
        </w:rPr>
        <w:t>%，与上年相比，财政拨款支出增加</w:t>
      </w:r>
      <w:r>
        <w:rPr>
          <w:rFonts w:hint="eastAsia" w:ascii="仿宋_GB2312" w:hAnsi="仿宋_GB2312" w:eastAsia="仿宋_GB2312" w:cs="仿宋_GB2312"/>
          <w:b w:val="0"/>
          <w:bCs w:val="0"/>
          <w:sz w:val="32"/>
          <w:szCs w:val="32"/>
          <w:lang w:val="en-US" w:eastAsia="zh-CN"/>
        </w:rPr>
        <w:t>523.15</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12.02</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b w:val="0"/>
          <w:bCs w:val="0"/>
          <w:sz w:val="32"/>
          <w:szCs w:val="32"/>
          <w:lang w:val="en-US" w:eastAsia="zh-CN"/>
        </w:rPr>
        <w:t>教职工人数增加，人员经费支出增加。</w:t>
      </w:r>
    </w:p>
    <w:p>
      <w:pPr>
        <w:pStyle w:val="14"/>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（二）财政拨款支出决算结构情况</w:t>
      </w:r>
    </w:p>
    <w:p>
      <w:pPr>
        <w:pStyle w:val="14"/>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万元，主要用于以下方面：教育支出</w:t>
      </w:r>
      <w:r>
        <w:rPr>
          <w:rFonts w:hint="eastAsia" w:ascii="仿宋_GB2312" w:hAnsi="仿宋_GB2312" w:eastAsia="仿宋_GB2312" w:cs="仿宋_GB2312"/>
          <w:b w:val="0"/>
          <w:bCs w:val="0"/>
          <w:sz w:val="32"/>
          <w:szCs w:val="32"/>
          <w:lang w:val="en-US" w:eastAsia="zh-CN"/>
        </w:rPr>
        <w:t>4374.39</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89.74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社会保障和就业支出328.11万元，占6.73%；卫生健康支出172.12万元，占3.53%。</w:t>
      </w:r>
    </w:p>
    <w:p>
      <w:pPr>
        <w:pStyle w:val="14"/>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（三）财政拨款支出决算具体情况</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2021年度财政拨款支出年初预算数为</w:t>
      </w:r>
      <w:r>
        <w:rPr>
          <w:rFonts w:hint="eastAsia" w:ascii="仿宋_GB2312" w:hAnsi="仿宋_GB2312" w:eastAsia="仿宋_GB2312" w:cs="仿宋_GB2312"/>
          <w:b w:val="0"/>
          <w:bCs w:val="0"/>
          <w:sz w:val="32"/>
          <w:szCs w:val="32"/>
          <w:lang w:val="en-US" w:eastAsia="zh-CN"/>
        </w:rPr>
        <w:t>8501.26</w:t>
      </w:r>
      <w:r>
        <w:rPr>
          <w:rFonts w:hint="eastAsia" w:ascii="仿宋_GB2312" w:hAnsi="仿宋_GB2312" w:eastAsia="仿宋_GB2312" w:cs="仿宋_GB2312"/>
          <w:b w:val="0"/>
          <w:bCs w:val="0"/>
          <w:sz w:val="32"/>
          <w:szCs w:val="32"/>
        </w:rPr>
        <w:t>万元，支出决算数为</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57.34</w:t>
      </w:r>
      <w:r>
        <w:rPr>
          <w:rFonts w:hint="eastAsia" w:ascii="仿宋_GB2312" w:hAnsi="仿宋_GB2312" w:eastAsia="仿宋_GB2312" w:cs="仿宋_GB2312"/>
          <w:b w:val="0"/>
          <w:bCs w:val="0"/>
          <w:sz w:val="32"/>
          <w:szCs w:val="32"/>
        </w:rPr>
        <w:t>%，其中：</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.教育支出</w:t>
      </w:r>
      <w:r>
        <w:rPr>
          <w:rFonts w:hint="eastAsia" w:ascii="仿宋_GB2312" w:hAnsi="仿宋_GB2312" w:eastAsia="仿宋_GB2312" w:cs="仿宋_GB2312"/>
          <w:b w:val="0"/>
          <w:bCs w:val="0"/>
          <w:sz w:val="32"/>
          <w:szCs w:val="32"/>
        </w:rPr>
        <w:t>（类）</w:t>
      </w:r>
      <w:r>
        <w:rPr>
          <w:rFonts w:hint="eastAsia" w:ascii="仿宋_GB2312" w:hAnsi="仿宋_GB2312" w:eastAsia="仿宋_GB2312" w:cs="仿宋_GB2312"/>
          <w:b w:val="0"/>
          <w:bCs w:val="0"/>
          <w:sz w:val="32"/>
          <w:szCs w:val="32"/>
          <w:lang w:val="en-US" w:eastAsia="zh-CN"/>
        </w:rPr>
        <w:t>普通教育</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val="en-US" w:eastAsia="zh-CN"/>
        </w:rPr>
        <w:t>高等教育</w:t>
      </w:r>
      <w:r>
        <w:rPr>
          <w:rFonts w:hint="eastAsia" w:ascii="仿宋_GB2312" w:hAnsi="仿宋_GB2312" w:eastAsia="仿宋_GB2312" w:cs="仿宋_GB2312"/>
          <w:b w:val="0"/>
          <w:bCs w:val="0"/>
          <w:sz w:val="32"/>
          <w:szCs w:val="32"/>
        </w:rPr>
        <w:t>（项）。</w:t>
      </w:r>
    </w:p>
    <w:p>
      <w:pPr>
        <w:pStyle w:val="14"/>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584.98</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color w:val="auto"/>
          <w:sz w:val="32"/>
          <w:szCs w:val="32"/>
          <w:lang w:val="en-US" w:eastAsia="zh-CN"/>
        </w:rPr>
        <w:t>为年中追加安排的2021年高校学生资助款及2021年第三批基础教育发展专项资金</w:t>
      </w:r>
      <w:r>
        <w:rPr>
          <w:rFonts w:hint="eastAsia" w:ascii="仿宋_GB2312" w:hAnsi="仿宋_GB2312" w:eastAsia="仿宋_GB2312" w:cs="仿宋_GB2312"/>
          <w:b w:val="0"/>
          <w:bCs w:val="0"/>
          <w:sz w:val="32"/>
          <w:szCs w:val="32"/>
          <w:lang w:val="en-US" w:eastAsia="zh-CN"/>
        </w:rPr>
        <w:t>。</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.教育支出</w:t>
      </w:r>
      <w:r>
        <w:rPr>
          <w:rFonts w:hint="eastAsia" w:ascii="仿宋_GB2312" w:hAnsi="仿宋_GB2312" w:eastAsia="仿宋_GB2312" w:cs="仿宋_GB2312"/>
          <w:b w:val="0"/>
          <w:bCs w:val="0"/>
          <w:sz w:val="32"/>
          <w:szCs w:val="32"/>
        </w:rPr>
        <w:t>（类）</w:t>
      </w:r>
      <w:r>
        <w:rPr>
          <w:rFonts w:hint="eastAsia" w:ascii="仿宋_GB2312" w:hAnsi="仿宋_GB2312" w:eastAsia="仿宋_GB2312" w:cs="仿宋_GB2312"/>
          <w:b w:val="0"/>
          <w:bCs w:val="0"/>
          <w:sz w:val="32"/>
          <w:szCs w:val="32"/>
          <w:lang w:val="en-US" w:eastAsia="zh-CN"/>
        </w:rPr>
        <w:t>职业教育</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val="en-US" w:eastAsia="zh-CN"/>
        </w:rPr>
        <w:t>中等职业教育</w:t>
      </w:r>
      <w:r>
        <w:rPr>
          <w:rFonts w:hint="eastAsia" w:ascii="仿宋_GB2312" w:hAnsi="仿宋_GB2312" w:eastAsia="仿宋_GB2312" w:cs="仿宋_GB2312"/>
          <w:b w:val="0"/>
          <w:bCs w:val="0"/>
          <w:sz w:val="32"/>
          <w:szCs w:val="32"/>
        </w:rPr>
        <w:t>（项）。</w:t>
      </w:r>
    </w:p>
    <w:p>
      <w:pPr>
        <w:pStyle w:val="14"/>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2501.26</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2801.99</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112.02</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lang w:val="en-US" w:eastAsia="zh-CN"/>
        </w:rPr>
        <w:t>年中追加安排的2021年度中职免学费专项资金。</w:t>
      </w:r>
    </w:p>
    <w:p>
      <w:pPr>
        <w:pStyle w:val="14"/>
        <w:numPr>
          <w:ilvl w:val="0"/>
          <w:numId w:val="0"/>
        </w:num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3.教育支出</w:t>
      </w:r>
      <w:r>
        <w:rPr>
          <w:rFonts w:hint="eastAsia" w:ascii="仿宋_GB2312" w:hAnsi="仿宋_GB2312" w:eastAsia="仿宋_GB2312" w:cs="仿宋_GB2312"/>
          <w:b w:val="0"/>
          <w:bCs w:val="0"/>
          <w:sz w:val="32"/>
          <w:szCs w:val="32"/>
        </w:rPr>
        <w:t>（类）</w:t>
      </w:r>
      <w:r>
        <w:rPr>
          <w:rFonts w:hint="eastAsia" w:ascii="仿宋_GB2312" w:hAnsi="仿宋_GB2312" w:eastAsia="仿宋_GB2312" w:cs="仿宋_GB2312"/>
          <w:b w:val="0"/>
          <w:bCs w:val="0"/>
          <w:sz w:val="32"/>
          <w:szCs w:val="32"/>
          <w:lang w:val="en-US" w:eastAsia="zh-CN"/>
        </w:rPr>
        <w:t>职业教育</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val="en-US" w:eastAsia="zh-CN"/>
        </w:rPr>
        <w:t>高等职业教育</w:t>
      </w:r>
      <w:r>
        <w:rPr>
          <w:rFonts w:hint="eastAsia" w:ascii="仿宋_GB2312" w:hAnsi="仿宋_GB2312" w:eastAsia="仿宋_GB2312" w:cs="仿宋_GB2312"/>
          <w:b w:val="0"/>
          <w:bCs w:val="0"/>
          <w:sz w:val="32"/>
          <w:szCs w:val="32"/>
        </w:rPr>
        <w:t>（项）。</w:t>
      </w:r>
    </w:p>
    <w:p>
      <w:pPr>
        <w:pStyle w:val="14"/>
        <w:numPr>
          <w:ilvl w:val="0"/>
          <w:numId w:val="0"/>
        </w:numPr>
        <w:ind w:firstLine="640" w:firstLineChars="200"/>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811.68</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color w:val="auto"/>
          <w:sz w:val="32"/>
          <w:szCs w:val="32"/>
          <w:lang w:val="en-US" w:eastAsia="zh-CN"/>
        </w:rPr>
        <w:t>为年中追加安排的2021年高职资助专项资金及2021年“双一流”建设专项资金。</w:t>
      </w:r>
    </w:p>
    <w:p>
      <w:pPr>
        <w:pStyle w:val="14"/>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4.教育支出</w:t>
      </w:r>
      <w:r>
        <w:rPr>
          <w:rFonts w:hint="eastAsia" w:ascii="仿宋_GB2312" w:hAnsi="仿宋_GB2312" w:eastAsia="仿宋_GB2312" w:cs="仿宋_GB2312"/>
          <w:b w:val="0"/>
          <w:bCs w:val="0"/>
          <w:sz w:val="32"/>
          <w:szCs w:val="32"/>
        </w:rPr>
        <w:t>（类）</w:t>
      </w:r>
      <w:r>
        <w:rPr>
          <w:rFonts w:hint="eastAsia" w:ascii="仿宋_GB2312" w:hAnsi="仿宋_GB2312" w:eastAsia="仿宋_GB2312" w:cs="仿宋_GB2312"/>
          <w:b w:val="0"/>
          <w:bCs w:val="0"/>
          <w:sz w:val="32"/>
          <w:szCs w:val="32"/>
          <w:lang w:val="en-US" w:eastAsia="zh-CN"/>
        </w:rPr>
        <w:t>教育费附加安排的支出</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val="en-US" w:eastAsia="zh-CN"/>
        </w:rPr>
        <w:t>其他教育费附加安排的支出</w:t>
      </w:r>
      <w:r>
        <w:rPr>
          <w:rFonts w:hint="eastAsia" w:ascii="仿宋_GB2312" w:hAnsi="仿宋_GB2312" w:eastAsia="仿宋_GB2312" w:cs="仿宋_GB2312"/>
          <w:b w:val="0"/>
          <w:bCs w:val="0"/>
          <w:sz w:val="32"/>
          <w:szCs w:val="32"/>
        </w:rPr>
        <w:t>（项）。</w:t>
      </w:r>
    </w:p>
    <w:p>
      <w:pPr>
        <w:pStyle w:val="14"/>
        <w:widowControl w:val="0"/>
        <w:numPr>
          <w:ilvl w:val="0"/>
          <w:numId w:val="0"/>
        </w:numPr>
        <w:autoSpaceDE w:val="0"/>
        <w:autoSpaceDN w:val="0"/>
        <w:adjustRightInd w:val="0"/>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175.74</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color w:val="auto"/>
          <w:sz w:val="32"/>
          <w:szCs w:val="32"/>
          <w:lang w:val="en-US" w:eastAsia="zh-CN"/>
        </w:rPr>
        <w:t>为年中追加安排的数字书法教室建设专项资金及2021年高职奖助学金市级配套专项资金。</w:t>
      </w:r>
    </w:p>
    <w:p>
      <w:pPr>
        <w:pStyle w:val="14"/>
        <w:widowControl w:val="0"/>
        <w:numPr>
          <w:ilvl w:val="0"/>
          <w:numId w:val="0"/>
        </w:numPr>
        <w:autoSpaceDE w:val="0"/>
        <w:autoSpaceDN w:val="0"/>
        <w:adjustRightInd w:val="0"/>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5.社会保障和就业支出（类）行政事业单位养老支出（款）机关事业单位基本养老保险缴费支出（项）。</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290.27</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年初预算未安排，为年中追加安排的机关事业单位基本养老保险缴费支出。</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6.社会保障和就业支出（类）行政事业单位养老支出（款）机关事业单位职业年金缴费支出（项）。</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5.94</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年初预算未安排，为年中追加安排的职业年金缴费支出。</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7.社会保障和就业支出（类）行政事业单位养老支出（款）其他行政事业单位养老支出（项）。</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28.61</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年初预算未安排，为年中追加安排的2020年离退休人员生活补贴。</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8.社会保障和就业支出（类）抚恤（款）死亡抚恤（项）。</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3.3</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年初预算未安排，为年中追加安排的死亡抚恤支出。</w:t>
      </w:r>
    </w:p>
    <w:p>
      <w:pPr>
        <w:pStyle w:val="14"/>
        <w:widowControl w:val="0"/>
        <w:numPr>
          <w:ilvl w:val="0"/>
          <w:numId w:val="0"/>
        </w:numPr>
        <w:autoSpaceDE w:val="0"/>
        <w:autoSpaceDN w:val="0"/>
        <w:adjustRightInd w:val="0"/>
        <w:ind w:leftChars="200" w:firstLine="320" w:firstLineChars="1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9.卫生健康支出（类）行政事业单位医疗（款）事业单位医疗（项）。</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172.12</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年初预算未安排，为年中追加安排的职工基本医疗保险缴费支出。</w:t>
      </w:r>
    </w:p>
    <w:p>
      <w:pPr>
        <w:pStyle w:val="14"/>
        <w:ind w:firstLine="640" w:firstLineChars="200"/>
        <w:rPr>
          <w:rFonts w:hAnsi="黑体"/>
          <w:b w:val="0"/>
          <w:bCs/>
          <w:sz w:val="32"/>
          <w:szCs w:val="32"/>
        </w:rPr>
      </w:pPr>
      <w:r>
        <w:rPr>
          <w:rFonts w:hint="eastAsia" w:hAnsi="黑体"/>
          <w:b w:val="0"/>
          <w:bCs/>
          <w:sz w:val="32"/>
          <w:szCs w:val="32"/>
        </w:rPr>
        <w:t>六、一般公共预算财政拨款基本支出决算情况说明</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2021年度财政拨款基本支出</w:t>
      </w:r>
      <w:r>
        <w:rPr>
          <w:rFonts w:hint="eastAsia" w:ascii="仿宋_GB2312" w:hAnsi="仿宋_GB2312" w:eastAsia="仿宋_GB2312" w:cs="仿宋_GB2312"/>
          <w:b w:val="0"/>
          <w:bCs w:val="0"/>
          <w:sz w:val="32"/>
          <w:szCs w:val="32"/>
          <w:lang w:val="en-US" w:eastAsia="zh-CN"/>
        </w:rPr>
        <w:t>3554</w:t>
      </w:r>
      <w:r>
        <w:rPr>
          <w:rFonts w:hint="eastAsia" w:ascii="仿宋_GB2312" w:hAnsi="仿宋_GB2312" w:eastAsia="仿宋_GB2312" w:cs="仿宋_GB2312"/>
          <w:b w:val="0"/>
          <w:bCs w:val="0"/>
          <w:sz w:val="32"/>
          <w:szCs w:val="32"/>
        </w:rPr>
        <w:t>万元，其中：</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人员经费</w:t>
      </w:r>
      <w:r>
        <w:rPr>
          <w:rFonts w:hint="eastAsia" w:ascii="仿宋_GB2312" w:hAnsi="仿宋_GB2312" w:eastAsia="仿宋_GB2312" w:cs="仿宋_GB2312"/>
          <w:b w:val="0"/>
          <w:bCs w:val="0"/>
          <w:sz w:val="32"/>
          <w:szCs w:val="32"/>
          <w:lang w:val="en-US" w:eastAsia="zh-CN"/>
        </w:rPr>
        <w:t>3486.07</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98.09</w:t>
      </w:r>
      <w:r>
        <w:rPr>
          <w:rFonts w:hint="eastAsia" w:ascii="仿宋_GB2312" w:hAnsi="仿宋_GB2312" w:eastAsia="仿宋_GB2312" w:cs="仿宋_GB2312"/>
          <w:b w:val="0"/>
          <w:bCs w:val="0"/>
          <w:sz w:val="32"/>
          <w:szCs w:val="32"/>
        </w:rPr>
        <w:t>%,主要包括基本工资、津贴补贴、奖金、伙食补助费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绩效工资、机关事业单位基本养老保险缴费、职业年金缴费、职工基本医疗保险缴费、其他社会保障缴费、退休费、抚恤金、生活补助、助学金</w:t>
      </w:r>
      <w:r>
        <w:rPr>
          <w:rFonts w:hint="eastAsia" w:ascii="仿宋_GB2312" w:hAnsi="仿宋_GB2312" w:eastAsia="仿宋_GB2312" w:cs="仿宋_GB2312"/>
          <w:b w:val="0"/>
          <w:bCs w:val="0"/>
          <w:sz w:val="32"/>
          <w:szCs w:val="32"/>
        </w:rPr>
        <w:t>；</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公用经费</w:t>
      </w:r>
      <w:r>
        <w:rPr>
          <w:rFonts w:hint="eastAsia" w:ascii="仿宋_GB2312" w:hAnsi="仿宋_GB2312" w:eastAsia="仿宋_GB2312" w:cs="仿宋_GB2312"/>
          <w:b w:val="0"/>
          <w:bCs w:val="0"/>
          <w:sz w:val="32"/>
          <w:szCs w:val="32"/>
          <w:lang w:val="en-US" w:eastAsia="zh-CN"/>
        </w:rPr>
        <w:t>67.93</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1.91</w:t>
      </w:r>
      <w:r>
        <w:rPr>
          <w:rFonts w:hint="eastAsia" w:ascii="仿宋_GB2312" w:hAnsi="仿宋_GB2312" w:eastAsia="仿宋_GB2312" w:cs="仿宋_GB2312"/>
          <w:b w:val="0"/>
          <w:bCs w:val="0"/>
          <w:sz w:val="32"/>
          <w:szCs w:val="32"/>
        </w:rPr>
        <w:t>%，主要包括</w:t>
      </w:r>
      <w:r>
        <w:rPr>
          <w:rFonts w:hint="eastAsia" w:ascii="仿宋_GB2312" w:hAnsi="仿宋_GB2312" w:eastAsia="仿宋_GB2312" w:cs="仿宋_GB2312"/>
          <w:b w:val="0"/>
          <w:bCs w:val="0"/>
          <w:sz w:val="32"/>
          <w:szCs w:val="32"/>
          <w:lang w:val="en-US" w:eastAsia="zh-CN"/>
        </w:rPr>
        <w:t>公务接待费、工会经费、公务用车运行维护费、其他商品和服务支出</w:t>
      </w:r>
      <w:r>
        <w:rPr>
          <w:rFonts w:hint="eastAsia" w:ascii="仿宋_GB2312" w:hAnsi="仿宋_GB2312" w:eastAsia="仿宋_GB2312" w:cs="仿宋_GB2312"/>
          <w:b w:val="0"/>
          <w:bCs w:val="0"/>
          <w:sz w:val="32"/>
          <w:szCs w:val="32"/>
        </w:rPr>
        <w:t>。</w:t>
      </w:r>
    </w:p>
    <w:p>
      <w:pPr>
        <w:pStyle w:val="14"/>
        <w:ind w:firstLine="640" w:firstLineChars="200"/>
        <w:rPr>
          <w:rFonts w:hAnsi="黑体"/>
          <w:bCs/>
          <w:sz w:val="32"/>
          <w:szCs w:val="32"/>
          <w:highlight w:val="red"/>
        </w:rPr>
      </w:pPr>
      <w:r>
        <w:rPr>
          <w:rFonts w:hint="eastAsia" w:hAnsi="黑体"/>
          <w:bCs/>
          <w:sz w:val="32"/>
          <w:szCs w:val="32"/>
        </w:rPr>
        <w:t>七、一般公共预算财政拨款“三公”经费支出决算情况说明</w:t>
      </w:r>
    </w:p>
    <w:p>
      <w:pPr>
        <w:pStyle w:val="14"/>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（一）“三公”经费财政拨款支出决算总体情况说明</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2021年度“三公”经费财政拨款支出预算为46万元，支出决算为28.94万元，完成预算的62.91%，其中：</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因公出国（境）费支出预算为0万元，支出决算为0万元，决算数与预算数一致，与上年持平。</w:t>
      </w:r>
    </w:p>
    <w:p>
      <w:pPr>
        <w:pStyle w:val="14"/>
        <w:ind w:firstLine="640" w:firstLineChars="200"/>
        <w:rPr>
          <w:rFonts w:ascii="仿宋_GB2312" w:hAnsi="仿宋_GB2312" w:eastAsia="仿宋_GB2312" w:cs="仿宋_GB2312"/>
          <w:sz w:val="32"/>
          <w:szCs w:val="32"/>
          <w:highlight w:val="red"/>
        </w:rPr>
      </w:pPr>
      <w:r>
        <w:rPr>
          <w:rFonts w:hint="eastAsia" w:ascii="仿宋_GB2312" w:hAnsi="仿宋_GB2312" w:eastAsia="仿宋_GB2312" w:cs="仿宋_GB2312"/>
          <w:sz w:val="32"/>
          <w:szCs w:val="32"/>
        </w:rPr>
        <w:t>公务接待费支出预算为40万元</w:t>
      </w:r>
      <w:r>
        <w:rPr>
          <w:rFonts w:hint="eastAsia" w:ascii="仿宋_GB2312" w:hAnsi="仿宋_GB2312" w:eastAsia="仿宋_GB2312" w:cs="仿宋_GB2312"/>
          <w:color w:val="auto"/>
          <w:sz w:val="32"/>
          <w:szCs w:val="32"/>
        </w:rPr>
        <w:t>，支出决算为23.62万元，</w:t>
      </w:r>
      <w:r>
        <w:rPr>
          <w:rFonts w:hint="eastAsia" w:ascii="仿宋_GB2312" w:hAnsi="仿宋_GB2312" w:eastAsia="仿宋_GB2312" w:cs="仿宋_GB2312"/>
          <w:sz w:val="32"/>
          <w:szCs w:val="32"/>
        </w:rPr>
        <w:t>完成预算的59.05%，决算数小于预算数的主要原因是厉行节约，严控公务接待活动，与上年相比增加23.62万元，增长100%,增长的主要原因是上年一般公共预算财政拨款未安排公务接待费。</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公务用车购置费支出预算为0万元，支出决算为0万元，决算数与预算数一致，与上年持平。</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预算为6万元，支出决算为5.32万元，完成预算的88.67%，决算数小于预算数的主要原因是单位加强对公务用车的管理，严格控制公务用车的开支，与上年相比减少5.85万元，减少52.37%,减少的主要原因是单位公车数量减少两辆。</w:t>
      </w:r>
    </w:p>
    <w:p>
      <w:pPr>
        <w:pStyle w:val="14"/>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（二）“三公”经费财政拨款支出决算具体情况说明</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2021年度“三公”经费财政拨款支出决算中，公务接待费支出决算23.62万元，占81.62%,因公出国（境）费支出决算0万元，占0%,公务用车购置费及运行维护费支出决算5.32万元，占18.38%。其中：</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1.因公出国（境）费支出决算为0万元，全年安排因公出国（境）团组0个，累计0人次,2021年度我单位未开展因公出国（境）活动。</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2.公务接待费支出决算为23.62万元，全年共接待来访团组230个、来宾1800人次。主要是工作检查、考察交流、招生工作会议、就业洽谈会议、合作办学等发生的接待支出。</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购置费及运行维护费支出决算为5.32万元，其中：公务用车购置费0万元，本单位无更新公务用车。公务用车运行维护费5.32万元，主要是车辆保险、维修保养、汽油、过桥过路支出，截止2021年12月31日，我单位开支财政拨款的公务用车保有量为2辆。</w:t>
      </w:r>
    </w:p>
    <w:p>
      <w:pPr>
        <w:pStyle w:val="14"/>
        <w:ind w:firstLine="640" w:firstLineChars="200"/>
        <w:rPr>
          <w:rFonts w:hAnsi="黑体"/>
          <w:b/>
          <w:sz w:val="32"/>
          <w:szCs w:val="32"/>
        </w:rPr>
      </w:pPr>
      <w:r>
        <w:rPr>
          <w:rFonts w:hint="eastAsia" w:hAnsi="黑体"/>
          <w:b w:val="0"/>
          <w:bCs/>
          <w:sz w:val="32"/>
          <w:szCs w:val="32"/>
        </w:rPr>
        <w:t>八、政府性基金预算收入支出决算情况</w:t>
      </w:r>
    </w:p>
    <w:p>
      <w:pPr>
        <w:pStyle w:val="14"/>
        <w:ind w:firstLine="640" w:firstLineChars="200"/>
        <w:rPr>
          <w:rFonts w:hint="eastAsia" w:cs="黑体" w:asciiTheme="minorEastAsia" w:hAnsiTheme="minorEastAsia" w:eastAsiaTheme="minorEastAsia"/>
          <w:b w:val="0"/>
          <w:bCs w:val="0"/>
          <w:color w:val="FF0000"/>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2021年度本单位无政府性基金收支情况。</w:t>
      </w:r>
    </w:p>
    <w:p>
      <w:pPr>
        <w:pStyle w:val="14"/>
        <w:numPr>
          <w:ilvl w:val="0"/>
          <w:numId w:val="2"/>
        </w:numPr>
        <w:ind w:firstLine="640" w:firstLineChars="200"/>
        <w:rPr>
          <w:rFonts w:hint="eastAsia" w:hAnsi="黑体"/>
          <w:b w:val="0"/>
          <w:bCs/>
          <w:sz w:val="32"/>
          <w:szCs w:val="32"/>
        </w:rPr>
      </w:pPr>
      <w:r>
        <w:rPr>
          <w:rFonts w:hint="eastAsia" w:hAnsi="黑体"/>
          <w:b w:val="0"/>
          <w:bCs/>
          <w:sz w:val="32"/>
          <w:szCs w:val="32"/>
        </w:rPr>
        <w:t>机关运行经费支出说明</w:t>
      </w:r>
    </w:p>
    <w:p>
      <w:pPr>
        <w:pStyle w:val="14"/>
        <w:ind w:firstLine="640" w:firstLineChars="200"/>
        <w:rPr>
          <w:rFonts w:ascii="仿宋_GB2312" w:hAnsi="仿宋_GB2312" w:eastAsia="仿宋_GB2312" w:cs="仿宋_GB2312"/>
          <w:sz w:val="32"/>
          <w:szCs w:val="32"/>
          <w:highlight w:val="red"/>
        </w:rPr>
      </w:pPr>
      <w:r>
        <w:rPr>
          <w:rFonts w:hint="eastAsia" w:ascii="仿宋_GB2312" w:hAnsi="仿宋_GB2312" w:eastAsia="仿宋_GB2312" w:cs="仿宋_GB2312"/>
          <w:color w:val="auto"/>
          <w:sz w:val="32"/>
          <w:szCs w:val="32"/>
        </w:rPr>
        <w:t>本单位属于公益一类事业单位,不属于行政单位和参照公务员法管理事业单位，无机关运行经费。</w:t>
      </w:r>
    </w:p>
    <w:p>
      <w:pPr>
        <w:pStyle w:val="14"/>
        <w:ind w:firstLine="640" w:firstLineChars="200"/>
        <w:rPr>
          <w:rFonts w:hint="eastAsia" w:hAnsi="黑体" w:eastAsia="黑体"/>
          <w:b w:val="0"/>
          <w:bCs/>
          <w:sz w:val="32"/>
          <w:szCs w:val="32"/>
          <w:lang w:val="en-US" w:eastAsia="zh-CN"/>
        </w:rPr>
      </w:pPr>
      <w:r>
        <w:rPr>
          <w:rFonts w:hint="eastAsia" w:hAnsi="黑体"/>
          <w:b w:val="0"/>
          <w:bCs/>
          <w:sz w:val="32"/>
          <w:szCs w:val="32"/>
        </w:rPr>
        <w:t>十、一般性支出情况说明</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2021年本部门开支会议费</w:t>
      </w:r>
      <w:r>
        <w:rPr>
          <w:rFonts w:hint="eastAsia" w:ascii="仿宋_GB2312" w:hAnsi="仿宋_GB2312" w:eastAsia="仿宋_GB2312" w:cs="仿宋_GB2312"/>
          <w:sz w:val="32"/>
          <w:szCs w:val="32"/>
          <w:lang w:val="en-US" w:eastAsia="zh-CN"/>
        </w:rPr>
        <w:t>4.04</w:t>
      </w:r>
      <w:r>
        <w:rPr>
          <w:rFonts w:hint="eastAsia" w:ascii="仿宋_GB2312" w:hAnsi="仿宋_GB2312" w:eastAsia="仿宋_GB2312" w:cs="仿宋_GB2312"/>
          <w:sz w:val="32"/>
          <w:szCs w:val="32"/>
        </w:rPr>
        <w:t>万元，用于召开</w:t>
      </w:r>
      <w:r>
        <w:rPr>
          <w:rFonts w:hint="eastAsia" w:ascii="仿宋_GB2312" w:hAnsi="仿宋_GB2312" w:eastAsia="仿宋_GB2312" w:cs="仿宋_GB2312"/>
          <w:sz w:val="32"/>
          <w:szCs w:val="32"/>
          <w:lang w:val="en-US" w:eastAsia="zh-CN"/>
        </w:rPr>
        <w:t>学前教育专业集中顶岗实习研讨</w:t>
      </w:r>
      <w:r>
        <w:rPr>
          <w:rFonts w:hint="eastAsia" w:ascii="仿宋_GB2312" w:hAnsi="仿宋_GB2312" w:eastAsia="仿宋_GB2312" w:cs="仿宋_GB2312"/>
          <w:sz w:val="32"/>
          <w:szCs w:val="32"/>
        </w:rPr>
        <w:t>会议，人数</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人，内容为</w:t>
      </w:r>
      <w:r>
        <w:rPr>
          <w:rFonts w:hint="eastAsia" w:ascii="仿宋_GB2312" w:hAnsi="仿宋_GB2312" w:eastAsia="仿宋_GB2312" w:cs="仿宋_GB2312"/>
          <w:sz w:val="32"/>
          <w:szCs w:val="32"/>
          <w:lang w:val="en-US" w:eastAsia="zh-CN"/>
        </w:rPr>
        <w:t>研讨实习基地的遴选与管理、集中顶岗实习教育教学管理、集中顶岗实习成绩认定</w:t>
      </w:r>
      <w:r>
        <w:rPr>
          <w:rFonts w:hint="eastAsia" w:ascii="仿宋_GB2312" w:hAnsi="仿宋_GB2312" w:eastAsia="仿宋_GB2312" w:cs="仿宋_GB2312"/>
          <w:sz w:val="32"/>
          <w:szCs w:val="32"/>
        </w:rPr>
        <w:t>；开支培训费</w:t>
      </w:r>
      <w:r>
        <w:rPr>
          <w:rFonts w:hint="eastAsia" w:ascii="仿宋_GB2312" w:hAnsi="仿宋_GB2312" w:eastAsia="仿宋_GB2312" w:cs="仿宋_GB2312"/>
          <w:sz w:val="32"/>
          <w:szCs w:val="32"/>
          <w:lang w:val="en-US" w:eastAsia="zh-CN"/>
        </w:rPr>
        <w:t>16.42</w:t>
      </w:r>
      <w:r>
        <w:rPr>
          <w:rFonts w:hint="eastAsia" w:ascii="仿宋_GB2312" w:hAnsi="仿宋_GB2312" w:eastAsia="仿宋_GB2312" w:cs="仿宋_GB2312"/>
          <w:sz w:val="32"/>
          <w:szCs w:val="32"/>
        </w:rPr>
        <w:t>万元，用于开展</w:t>
      </w:r>
      <w:r>
        <w:rPr>
          <w:rFonts w:hint="eastAsia" w:ascii="仿宋_GB2312" w:hAnsi="仿宋_GB2312" w:eastAsia="仿宋_GB2312" w:cs="仿宋_GB2312"/>
          <w:sz w:val="32"/>
          <w:szCs w:val="32"/>
          <w:lang w:val="en-US" w:eastAsia="zh-CN"/>
        </w:rPr>
        <w:t>永州市中职学校班主任</w:t>
      </w:r>
      <w:r>
        <w:rPr>
          <w:rFonts w:hint="eastAsia" w:ascii="仿宋_GB2312" w:hAnsi="仿宋_GB2312" w:eastAsia="仿宋_GB2312" w:cs="仿宋_GB2312"/>
          <w:sz w:val="32"/>
          <w:szCs w:val="32"/>
        </w:rPr>
        <w:t>培训，人数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人，内容为</w:t>
      </w:r>
      <w:r>
        <w:rPr>
          <w:rFonts w:hint="eastAsia" w:ascii="仿宋_GB2312" w:hAnsi="仿宋_GB2312" w:eastAsia="仿宋_GB2312" w:cs="仿宋_GB2312"/>
          <w:sz w:val="32"/>
          <w:szCs w:val="32"/>
          <w:lang w:val="en-US" w:eastAsia="zh-CN"/>
        </w:rPr>
        <w:t>智慧型班主任工作技能技巧、中职班主任基本功大赛方案解读与应赛经验、中职班主任工作中常见的几个重要关系的分析与处理、中职学生突发事件舆情监控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举办节庆、晚会、论坛、赛事活动。</w:t>
      </w:r>
    </w:p>
    <w:p>
      <w:pPr>
        <w:pStyle w:val="14"/>
        <w:ind w:firstLine="640" w:firstLineChars="200"/>
        <w:rPr>
          <w:rFonts w:hAnsi="黑体"/>
          <w:b w:val="0"/>
          <w:bCs/>
          <w:sz w:val="32"/>
          <w:szCs w:val="32"/>
        </w:rPr>
      </w:pPr>
      <w:r>
        <w:rPr>
          <w:rFonts w:hint="eastAsia" w:hAnsi="黑体"/>
          <w:b w:val="0"/>
          <w:bCs/>
          <w:sz w:val="32"/>
          <w:szCs w:val="32"/>
        </w:rPr>
        <w:t>十一、政府采购支出说明</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本部门2021年度政府采购支出总额</w:t>
      </w:r>
      <w:r>
        <w:rPr>
          <w:rFonts w:hint="eastAsia" w:ascii="仿宋_GB2312" w:hAnsi="仿宋_GB2312" w:eastAsia="仿宋_GB2312" w:cs="仿宋_GB2312"/>
          <w:sz w:val="32"/>
          <w:szCs w:val="32"/>
          <w:lang w:val="en-US" w:eastAsia="zh-CN"/>
        </w:rPr>
        <w:t>272.07</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272.07</w:t>
      </w:r>
      <w:r>
        <w:rPr>
          <w:rFonts w:hint="eastAsia" w:ascii="仿宋_GB2312" w:hAnsi="仿宋_GB2312" w:eastAsia="仿宋_GB2312" w:cs="仿宋_GB2312"/>
          <w:sz w:val="32"/>
          <w:szCs w:val="32"/>
        </w:rPr>
        <w:t xml:space="preserve"> 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272.07</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272.07</w:t>
      </w:r>
      <w:r>
        <w:rPr>
          <w:rFonts w:hint="eastAsia" w:ascii="仿宋_GB2312" w:hAnsi="仿宋_GB2312" w:eastAsia="仿宋_GB2312" w:cs="仿宋_GB2312"/>
          <w:sz w:val="32"/>
          <w:szCs w:val="32"/>
        </w:rPr>
        <w:t>万元，占授予中小企业合同金额的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%；货物采购授予中小企业合同金额占货物支出金额的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%，工程采购授予中小企业合同金额占工程支出金额的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%，服务采购授予中小企业合同金额占服务支出金额的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14"/>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十二、国有资产占用情况说明</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单位共有车辆</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eastAsia="zh-CN"/>
        </w:rPr>
        <w:t>用于</w:t>
      </w:r>
      <w:r>
        <w:rPr>
          <w:rFonts w:hint="eastAsia" w:ascii="仿宋_GB2312" w:hAnsi="仿宋_GB2312" w:eastAsia="仿宋_GB2312" w:cs="仿宋_GB2312"/>
          <w:sz w:val="32"/>
          <w:szCs w:val="32"/>
          <w:lang w:val="en-US" w:eastAsia="zh-CN"/>
        </w:rPr>
        <w:t>单位日常业务用车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14"/>
        <w:ind w:firstLine="640" w:firstLineChars="200"/>
        <w:rPr>
          <w:rFonts w:hAnsi="黑体"/>
          <w:b w:val="0"/>
          <w:bCs/>
          <w:sz w:val="32"/>
          <w:szCs w:val="32"/>
        </w:rPr>
      </w:pPr>
      <w:r>
        <w:rPr>
          <w:rFonts w:hint="eastAsia" w:hAnsi="黑体"/>
          <w:b w:val="0"/>
          <w:bCs/>
          <w:sz w:val="32"/>
          <w:szCs w:val="32"/>
        </w:rPr>
        <w:t>十三、2021年度预算绩效情况说明</w:t>
      </w:r>
    </w:p>
    <w:p>
      <w:pPr>
        <w:autoSpaceDE w:val="0"/>
        <w:autoSpaceDN w:val="0"/>
        <w:adjustRightInd w:val="0"/>
        <w:ind w:firstLine="640" w:firstLineChars="200"/>
        <w:jc w:val="lef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color w:val="000000"/>
          <w:kern w:val="0"/>
          <w:sz w:val="32"/>
          <w:szCs w:val="32"/>
        </w:rPr>
        <w:t>（</w:t>
      </w:r>
      <w:r>
        <w:rPr>
          <w:rFonts w:hint="eastAsia" w:ascii="楷体_GB2312" w:hAnsi="楷体_GB2312" w:eastAsia="楷体_GB2312" w:cs="楷体_GB2312"/>
          <w:b/>
          <w:color w:val="000000"/>
          <w:kern w:val="0"/>
          <w:sz w:val="32"/>
          <w:szCs w:val="32"/>
          <w:lang w:val="en-US" w:eastAsia="zh-CN"/>
        </w:rPr>
        <w:t>一</w:t>
      </w:r>
      <w:r>
        <w:rPr>
          <w:rFonts w:hint="eastAsia" w:ascii="楷体_GB2312" w:hAnsi="楷体_GB2312" w:eastAsia="楷体_GB2312" w:cs="楷体_GB2312"/>
          <w:b/>
          <w:color w:val="000000"/>
          <w:kern w:val="0"/>
          <w:sz w:val="32"/>
          <w:szCs w:val="32"/>
        </w:rPr>
        <w:t>）绩效管理评价工作开展情况</w:t>
      </w:r>
      <w:r>
        <w:rPr>
          <w:rFonts w:hint="eastAsia" w:ascii="楷体_GB2312" w:hAnsi="楷体_GB2312" w:eastAsia="楷体_GB2312" w:cs="楷体_GB2312"/>
          <w:color w:val="000000"/>
          <w:kern w:val="0"/>
          <w:sz w:val="32"/>
          <w:szCs w:val="32"/>
        </w:rPr>
        <w:t>。</w:t>
      </w:r>
    </w:p>
    <w:p>
      <w:pPr>
        <w:pStyle w:val="5"/>
        <w:spacing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根据预算绩效管理要求，我单位组织对2021年度一般公共预算项目支出全面开展绩效自评，其中，一级项目3个，二级项目0 个，共涉及资金1320.61万元，占一般公共预算项目支出总额的100%。本部门无政府</w:t>
      </w:r>
      <w:r>
        <w:rPr>
          <w:rFonts w:hint="eastAsia" w:ascii="仿宋_GB2312" w:hAnsi="仿宋_GB2312" w:eastAsia="仿宋_GB2312" w:cs="仿宋_GB2312"/>
          <w:sz w:val="32"/>
          <w:szCs w:val="32"/>
        </w:rPr>
        <w:t>性基金预算项目支出和国有资本经营预算项目支出，因而，未开展政府性基金预算项目支出和国有资本经营预算项目支出绩效自评。</w:t>
      </w:r>
    </w:p>
    <w:p>
      <w:pPr>
        <w:pStyle w:val="5"/>
        <w:keepNext w:val="0"/>
        <w:keepLines w:val="0"/>
        <w:pageBreakBefore w:val="0"/>
        <w:widowControl w:val="0"/>
        <w:kinsoku/>
        <w:wordWrap/>
        <w:overflowPunct/>
        <w:topLinePunct w:val="0"/>
        <w:autoSpaceDE/>
        <w:autoSpaceDN/>
        <w:bidi w:val="0"/>
        <w:adjustRightInd/>
        <w:snapToGrid/>
        <w:spacing w:after="0" w:line="360" w:lineRule="auto"/>
        <w:ind w:left="319" w:leftChars="152" w:firstLine="320" w:firstLineChars="100"/>
        <w:textAlignment w:val="auto"/>
        <w:rPr>
          <w:rFonts w:hint="eastAsia" w:ascii="仿宋_GB2312" w:hAnsi="仿宋_GB2312" w:eastAsia="仿宋_GB2312" w:cs="仿宋_GB2312"/>
          <w:b w:val="0"/>
          <w:bCs w:val="0"/>
          <w:color w:val="auto"/>
          <w:kern w:val="0"/>
          <w:sz w:val="32"/>
          <w:szCs w:val="32"/>
          <w:lang w:val="en" w:eastAsia="zh-CN"/>
        </w:rPr>
      </w:pPr>
      <w:r>
        <w:rPr>
          <w:rFonts w:hint="eastAsia" w:ascii="仿宋_GB2312" w:hAnsi="仿宋_GB2312" w:eastAsia="仿宋_GB2312" w:cs="仿宋_GB2312"/>
          <w:b w:val="0"/>
          <w:bCs w:val="0"/>
          <w:color w:val="auto"/>
          <w:kern w:val="0"/>
          <w:sz w:val="32"/>
          <w:szCs w:val="32"/>
          <w:lang w:val="en" w:eastAsia="zh-CN"/>
        </w:rPr>
        <w:t>本单位无所属二级单位，已开展项目绩效自评，无需开展部门评价。</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cs="黑体" w:asciiTheme="minorEastAsia" w:hAnsiTheme="minorEastAsia"/>
          <w:b/>
          <w:bCs/>
          <w:color w:val="000000"/>
          <w:kern w:val="0"/>
          <w:sz w:val="32"/>
          <w:szCs w:val="32"/>
        </w:rPr>
      </w:pPr>
      <w:r>
        <w:rPr>
          <w:rFonts w:hint="eastAsia" w:ascii="仿宋_GB2312" w:hAnsi="仿宋_GB2312" w:eastAsia="仿宋_GB2312" w:cs="仿宋_GB2312"/>
          <w:b w:val="0"/>
          <w:bCs w:val="0"/>
          <w:sz w:val="32"/>
          <w:szCs w:val="32"/>
          <w:lang w:val="en-US" w:eastAsia="zh-CN"/>
        </w:rPr>
        <w:t>根据预算绩效管理要求，组织开展对本单位2021年度整体支出绩效评价，纳入2021年部门整体支出绩效的金额为7514.61万元，其中，基本支出6085.43万元，项目支出1429.19万元。从评价情况来看，本部门</w:t>
      </w:r>
      <w:r>
        <w:rPr>
          <w:rFonts w:hint="eastAsia" w:ascii="仿宋_GB2312" w:hAnsi="仿宋_GB2312" w:eastAsia="仿宋_GB2312" w:cs="仿宋_GB2312"/>
          <w:b w:val="0"/>
          <w:bCs w:val="0"/>
          <w:kern w:val="0"/>
          <w:sz w:val="32"/>
          <w:szCs w:val="32"/>
          <w:lang w:val="en-US" w:eastAsia="zh-CN"/>
        </w:rPr>
        <w:t>落实教书育人根本任务，集中财力保人员经费、保运转、保教育事业核心、重点工作的开展，使年初工作目标得以顺利完成，自评得分94分。</w:t>
      </w:r>
    </w:p>
    <w:p>
      <w:pPr>
        <w:autoSpaceDE w:val="0"/>
        <w:autoSpaceDN w:val="0"/>
        <w:adjustRightInd w:val="0"/>
        <w:ind w:firstLine="640" w:firstLineChars="200"/>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（二）部门决算中项目绩效自评结果。</w:t>
      </w:r>
    </w:p>
    <w:p>
      <w:pPr>
        <w:pStyle w:val="2"/>
        <w:ind w:left="840" w:leftChars="400" w:firstLine="0" w:firstLineChars="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1.公费定向师范生免学费配套专项资金</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（1）绩效自评综述</w:t>
      </w:r>
    </w:p>
    <w:p>
      <w:pPr>
        <w:spacing w:line="360" w:lineRule="auto"/>
        <w:ind w:firstLine="640" w:firstLineChars="200"/>
      </w:pPr>
      <w:r>
        <w:rPr>
          <w:rFonts w:hint="eastAsia" w:ascii="仿宋_GB2312" w:hAnsi="仿宋" w:eastAsia="仿宋_GB2312" w:cs="仿宋"/>
          <w:kern w:val="0"/>
          <w:sz w:val="32"/>
          <w:szCs w:val="32"/>
          <w:lang w:bidi="ar"/>
        </w:rPr>
        <w:t>根据年初设定的绩效目标，项目绩效自评得分为100分。项目全年预算数为0万元，执行数为284.22万元，</w:t>
      </w:r>
      <w:r>
        <w:rPr>
          <w:rFonts w:hint="eastAsia" w:ascii="仿宋_GB2312" w:hAnsi="仿宋_GB2312" w:eastAsia="仿宋_GB2312" w:cs="仿宋_GB2312"/>
          <w:sz w:val="32"/>
          <w:szCs w:val="32"/>
        </w:rPr>
        <w:t>为年中追加安排，</w:t>
      </w:r>
      <w:r>
        <w:rPr>
          <w:rFonts w:hint="eastAsia" w:ascii="仿宋_GB2312" w:hAnsi="仿宋" w:eastAsia="仿宋_GB2312" w:cs="仿宋"/>
          <w:kern w:val="0"/>
          <w:sz w:val="32"/>
          <w:szCs w:val="32"/>
          <w:lang w:bidi="ar"/>
        </w:rPr>
        <w:t>完成预算的100%。</w:t>
      </w:r>
    </w:p>
    <w:p>
      <w:pPr>
        <w:numPr>
          <w:ilvl w:val="0"/>
          <w:numId w:val="3"/>
        </w:numPr>
        <w:spacing w:line="360" w:lineRule="auto"/>
        <w:ind w:firstLine="64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项目绩效目标完成情况</w:t>
      </w:r>
    </w:p>
    <w:p>
      <w:pPr>
        <w:spacing w:line="360" w:lineRule="auto"/>
        <w:ind w:firstLine="960" w:firstLineChars="3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完成公费定向师范生培养计划，保障学校教育教学工作正常运转。</w:t>
      </w:r>
    </w:p>
    <w:p>
      <w:pPr>
        <w:numPr>
          <w:ilvl w:val="0"/>
          <w:numId w:val="3"/>
        </w:numPr>
        <w:spacing w:line="360" w:lineRule="auto"/>
        <w:ind w:firstLine="64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发现的主要问题及原因</w:t>
      </w:r>
    </w:p>
    <w:p>
      <w:pPr>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（4）下一步改进措施</w:t>
      </w:r>
    </w:p>
    <w:p>
      <w:pPr>
        <w:pStyle w:val="2"/>
        <w:ind w:left="0" w:leftChars="0" w:firstLine="960" w:firstLineChars="300"/>
        <w:rPr>
          <w:rFonts w:ascii="仿宋_GB2312" w:hAnsi="仿宋_GB2312" w:eastAsia="仿宋_GB2312" w:cs="仿宋_GB2312"/>
          <w:b/>
          <w:bCs/>
          <w:kern w:val="0"/>
          <w:sz w:val="32"/>
          <w:szCs w:val="32"/>
        </w:rPr>
      </w:pPr>
      <w:r>
        <w:rPr>
          <w:rFonts w:hint="eastAsia" w:ascii="仿宋_GB2312" w:hAnsi="仿宋" w:eastAsia="仿宋_GB2312" w:cs="仿宋"/>
          <w:kern w:val="0"/>
          <w:sz w:val="32"/>
          <w:szCs w:val="32"/>
          <w:lang w:bidi="ar"/>
        </w:rPr>
        <w:t>无</w:t>
      </w:r>
    </w:p>
    <w:p>
      <w:pPr>
        <w:pStyle w:val="2"/>
        <w:ind w:left="840" w:leftChars="400" w:firstLine="0" w:firstLineChars="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2.中职学生免学费专项资金</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（1）绩效自评综述</w:t>
      </w:r>
    </w:p>
    <w:p>
      <w:pPr>
        <w:spacing w:line="360" w:lineRule="auto"/>
        <w:ind w:firstLine="640" w:firstLineChars="200"/>
      </w:pPr>
      <w:r>
        <w:rPr>
          <w:rFonts w:hint="eastAsia" w:ascii="仿宋_GB2312" w:hAnsi="仿宋" w:eastAsia="仿宋_GB2312" w:cs="仿宋"/>
          <w:kern w:val="0"/>
          <w:sz w:val="32"/>
          <w:szCs w:val="32"/>
          <w:lang w:bidi="ar"/>
        </w:rPr>
        <w:t>根据年初设定的绩效目标，项目绩效自评得分为100分。项目全年预算数为0万元，执行数为798万元，</w:t>
      </w:r>
      <w:r>
        <w:rPr>
          <w:rFonts w:hint="eastAsia" w:ascii="仿宋_GB2312" w:hAnsi="仿宋_GB2312" w:eastAsia="仿宋_GB2312" w:cs="仿宋_GB2312"/>
          <w:sz w:val="32"/>
          <w:szCs w:val="32"/>
        </w:rPr>
        <w:t>为年中追加安排，</w:t>
      </w:r>
      <w:r>
        <w:rPr>
          <w:rFonts w:hint="eastAsia" w:ascii="仿宋_GB2312" w:hAnsi="仿宋" w:eastAsia="仿宋_GB2312" w:cs="仿宋"/>
          <w:kern w:val="0"/>
          <w:sz w:val="32"/>
          <w:szCs w:val="32"/>
          <w:lang w:bidi="ar"/>
        </w:rPr>
        <w:t>完成预算的100%。</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（2）项目绩效目标完成情况</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完成中职学生享受免学费资助政策，不收取中职学生学费，保障学校教育教学工作正常运转。</w:t>
      </w:r>
    </w:p>
    <w:p>
      <w:pPr>
        <w:spacing w:line="360" w:lineRule="auto"/>
        <w:ind w:left="63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（3）发现的主要问题及原因</w:t>
      </w:r>
    </w:p>
    <w:p>
      <w:pPr>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（4）下一步改进措施</w:t>
      </w:r>
    </w:p>
    <w:p>
      <w:pPr>
        <w:pStyle w:val="2"/>
        <w:ind w:left="0" w:leftChars="0" w:firstLine="960" w:firstLineChars="300"/>
      </w:pPr>
      <w:r>
        <w:rPr>
          <w:rFonts w:hint="eastAsia" w:ascii="仿宋_GB2312" w:hAnsi="仿宋" w:eastAsia="仿宋_GB2312" w:cs="仿宋"/>
          <w:kern w:val="0"/>
          <w:sz w:val="32"/>
          <w:szCs w:val="32"/>
          <w:lang w:bidi="ar"/>
        </w:rPr>
        <w:t>无</w:t>
      </w:r>
    </w:p>
    <w:p>
      <w:pPr>
        <w:pStyle w:val="2"/>
        <w:ind w:left="840" w:leftChars="400" w:firstLine="0" w:firstLineChars="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3、改善中职办学条件专项资金</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（1）绩效自评综述</w:t>
      </w:r>
    </w:p>
    <w:p>
      <w:pPr>
        <w:spacing w:line="360" w:lineRule="auto"/>
        <w:ind w:firstLine="640" w:firstLineChars="200"/>
      </w:pPr>
      <w:r>
        <w:rPr>
          <w:rFonts w:hint="eastAsia" w:ascii="仿宋_GB2312" w:hAnsi="仿宋" w:eastAsia="仿宋_GB2312" w:cs="仿宋"/>
          <w:kern w:val="0"/>
          <w:sz w:val="32"/>
          <w:szCs w:val="32"/>
          <w:lang w:bidi="ar"/>
        </w:rPr>
        <w:t>根据年初设定的绩效目标，项目绩效自评得分为100分。项目全年预算数为0万元，执行数为238.39万元，</w:t>
      </w:r>
      <w:r>
        <w:rPr>
          <w:rFonts w:hint="eastAsia" w:ascii="仿宋_GB2312" w:hAnsi="仿宋_GB2312" w:eastAsia="仿宋_GB2312" w:cs="仿宋_GB2312"/>
          <w:sz w:val="32"/>
          <w:szCs w:val="32"/>
        </w:rPr>
        <w:t>为年中追加安排，</w:t>
      </w:r>
      <w:r>
        <w:rPr>
          <w:rFonts w:hint="eastAsia" w:ascii="仿宋_GB2312" w:hAnsi="仿宋" w:eastAsia="仿宋_GB2312" w:cs="仿宋"/>
          <w:kern w:val="0"/>
          <w:sz w:val="32"/>
          <w:szCs w:val="32"/>
          <w:lang w:bidi="ar"/>
        </w:rPr>
        <w:t>完成预算的100%。</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（2）项目绩效目标完成情况</w:t>
      </w:r>
    </w:p>
    <w:p>
      <w:pPr>
        <w:spacing w:line="360" w:lineRule="auto"/>
        <w:ind w:left="630"/>
        <w:rPr>
          <w:rFonts w:ascii="微软雅黑" w:hAnsi="微软雅黑" w:eastAsia="微软雅黑" w:cs="微软雅黑"/>
          <w:color w:val="000000"/>
          <w:sz w:val="22"/>
        </w:rPr>
      </w:pPr>
      <w:r>
        <w:rPr>
          <w:rFonts w:hint="eastAsia" w:ascii="仿宋_GB2312" w:hAnsi="仿宋" w:eastAsia="仿宋_GB2312" w:cs="仿宋"/>
          <w:kern w:val="0"/>
          <w:sz w:val="32"/>
          <w:szCs w:val="32"/>
          <w:lang w:bidi="ar"/>
        </w:rPr>
        <w:t>完成学校日常维修、维护及教育教学设施设备的购置及更换。</w:t>
      </w:r>
    </w:p>
    <w:p>
      <w:pPr>
        <w:spacing w:line="360" w:lineRule="auto"/>
        <w:ind w:left="63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（3）发现的主要问题及原因</w:t>
      </w:r>
    </w:p>
    <w:p>
      <w:pPr>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numPr>
          <w:ilvl w:val="0"/>
          <w:numId w:val="3"/>
        </w:numPr>
        <w:spacing w:line="360" w:lineRule="auto"/>
        <w:ind w:left="-10" w:leftChars="0" w:firstLine="640" w:firstLineChars="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下一步改进措施</w:t>
      </w:r>
    </w:p>
    <w:p>
      <w:pPr>
        <w:pStyle w:val="2"/>
        <w:ind w:left="0" w:leftChars="0" w:firstLine="960" w:firstLineChars="3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无</w:t>
      </w:r>
    </w:p>
    <w:p>
      <w:pPr>
        <w:pStyle w:val="2"/>
        <w:numPr>
          <w:ilvl w:val="0"/>
          <w:numId w:val="4"/>
        </w:numPr>
        <w:ind w:left="840" w:leftChars="400" w:firstLine="0" w:firstLineChars="0"/>
        <w:rPr>
          <w:rFonts w:hint="default" w:ascii="仿宋_GB2312" w:hAnsi="仿宋_GB2312" w:eastAsia="仿宋_GB2312" w:cs="仿宋_GB2312"/>
          <w:b/>
          <w:bCs/>
          <w:kern w:val="0"/>
          <w:sz w:val="32"/>
          <w:szCs w:val="32"/>
          <w:highlight w:val="none"/>
          <w:lang w:val="en-US"/>
        </w:rPr>
      </w:pPr>
      <w:r>
        <w:rPr>
          <w:rFonts w:hint="eastAsia" w:ascii="仿宋_GB2312" w:hAnsi="仿宋_GB2312" w:eastAsia="仿宋_GB2312" w:cs="仿宋_GB2312"/>
          <w:b/>
          <w:bCs/>
          <w:kern w:val="0"/>
          <w:sz w:val="32"/>
          <w:szCs w:val="32"/>
          <w:highlight w:val="none"/>
          <w:lang w:eastAsia="zh-CN"/>
        </w:rPr>
        <w:t>图书馆建设</w:t>
      </w:r>
      <w:r>
        <w:rPr>
          <w:rFonts w:hint="eastAsia" w:ascii="仿宋_GB2312" w:hAnsi="仿宋_GB2312" w:eastAsia="仿宋_GB2312" w:cs="仿宋_GB2312"/>
          <w:b/>
          <w:bCs/>
          <w:kern w:val="0"/>
          <w:sz w:val="32"/>
          <w:szCs w:val="32"/>
          <w:highlight w:val="none"/>
          <w:lang w:val="en-US" w:eastAsia="zh-CN"/>
        </w:rPr>
        <w:t>专项资金</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（1）绩效自评综述</w:t>
      </w:r>
    </w:p>
    <w:p>
      <w:pPr>
        <w:spacing w:line="360" w:lineRule="auto"/>
        <w:ind w:firstLine="640" w:firstLineChars="200"/>
      </w:pPr>
      <w:r>
        <w:rPr>
          <w:rFonts w:hint="eastAsia" w:ascii="仿宋_GB2312" w:hAnsi="仿宋" w:eastAsia="仿宋_GB2312" w:cs="仿宋"/>
          <w:kern w:val="0"/>
          <w:sz w:val="32"/>
          <w:szCs w:val="32"/>
          <w:lang w:bidi="ar"/>
        </w:rPr>
        <w:t>根据年初设定的绩效目标，项目绩效自评得分为100分。项目全年预算数为0万元，执行数为</w:t>
      </w:r>
      <w:r>
        <w:rPr>
          <w:rFonts w:hint="eastAsia" w:ascii="仿宋_GB2312" w:hAnsi="仿宋" w:eastAsia="仿宋_GB2312" w:cs="仿宋"/>
          <w:kern w:val="0"/>
          <w:sz w:val="32"/>
          <w:szCs w:val="32"/>
          <w:lang w:val="en-US" w:eastAsia="zh-CN" w:bidi="ar"/>
        </w:rPr>
        <w:t>108.58</w:t>
      </w:r>
      <w:r>
        <w:rPr>
          <w:rFonts w:hint="eastAsia" w:ascii="仿宋_GB2312" w:hAnsi="仿宋" w:eastAsia="仿宋_GB2312" w:cs="仿宋"/>
          <w:kern w:val="0"/>
          <w:sz w:val="32"/>
          <w:szCs w:val="32"/>
          <w:lang w:bidi="ar"/>
        </w:rPr>
        <w:t>万元，</w:t>
      </w:r>
      <w:r>
        <w:rPr>
          <w:rFonts w:hint="eastAsia" w:ascii="仿宋_GB2312" w:hAnsi="仿宋_GB2312" w:eastAsia="仿宋_GB2312" w:cs="仿宋_GB2312"/>
          <w:sz w:val="32"/>
          <w:szCs w:val="32"/>
        </w:rPr>
        <w:t>为年中追加安排，</w:t>
      </w:r>
      <w:r>
        <w:rPr>
          <w:rFonts w:hint="eastAsia" w:ascii="仿宋_GB2312" w:hAnsi="仿宋" w:eastAsia="仿宋_GB2312" w:cs="仿宋"/>
          <w:kern w:val="0"/>
          <w:sz w:val="32"/>
          <w:szCs w:val="32"/>
          <w:lang w:bidi="ar"/>
        </w:rPr>
        <w:t>完成预算的100%。</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（2）项目绩效目标完成情况</w:t>
      </w:r>
    </w:p>
    <w:p>
      <w:pPr>
        <w:spacing w:line="360" w:lineRule="auto"/>
        <w:ind w:firstLine="640" w:firstLineChars="200"/>
        <w:rPr>
          <w:rFonts w:hint="default" w:ascii="仿宋_GB2312" w:hAnsi="仿宋" w:eastAsia="仿宋_GB2312" w:cs="仿宋"/>
          <w:kern w:val="0"/>
          <w:sz w:val="32"/>
          <w:szCs w:val="32"/>
          <w:lang w:val="en-US" w:eastAsia="zh-CN" w:bidi="ar"/>
        </w:rPr>
      </w:pPr>
      <w:r>
        <w:rPr>
          <w:rFonts w:hint="eastAsia" w:ascii="仿宋_GB2312" w:hAnsi="仿宋" w:eastAsia="仿宋_GB2312" w:cs="仿宋"/>
          <w:kern w:val="0"/>
          <w:sz w:val="32"/>
          <w:szCs w:val="32"/>
          <w:lang w:bidi="ar"/>
        </w:rPr>
        <w:t>完成</w:t>
      </w:r>
      <w:r>
        <w:rPr>
          <w:rFonts w:hint="eastAsia" w:ascii="仿宋_GB2312" w:hAnsi="仿宋" w:eastAsia="仿宋_GB2312" w:cs="仿宋"/>
          <w:kern w:val="0"/>
          <w:sz w:val="32"/>
          <w:szCs w:val="32"/>
          <w:lang w:val="en-US" w:eastAsia="zh-CN" w:bidi="ar"/>
        </w:rPr>
        <w:t>图书采购，阅览桌椅、书架采购，期刊建设设备采购、电子阅览室改造。</w:t>
      </w:r>
    </w:p>
    <w:p>
      <w:pPr>
        <w:spacing w:line="360" w:lineRule="auto"/>
        <w:ind w:left="63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（3）发现的主要问题及原因</w:t>
      </w:r>
    </w:p>
    <w:p>
      <w:pPr>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numPr>
          <w:numId w:val="0"/>
        </w:numPr>
        <w:spacing w:line="360" w:lineRule="auto"/>
        <w:ind w:left="630" w:leftChars="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eastAsia="zh-CN" w:bidi="ar"/>
        </w:rPr>
        <w:t>（</w:t>
      </w:r>
      <w:r>
        <w:rPr>
          <w:rFonts w:hint="eastAsia" w:ascii="仿宋_GB2312" w:hAnsi="仿宋" w:eastAsia="仿宋_GB2312" w:cs="仿宋"/>
          <w:kern w:val="0"/>
          <w:sz w:val="32"/>
          <w:szCs w:val="32"/>
          <w:lang w:val="en-US" w:eastAsia="zh-CN" w:bidi="ar"/>
        </w:rPr>
        <w:t>4）</w:t>
      </w:r>
      <w:r>
        <w:rPr>
          <w:rFonts w:hint="eastAsia" w:ascii="仿宋_GB2312" w:hAnsi="仿宋" w:eastAsia="仿宋_GB2312" w:cs="仿宋"/>
          <w:kern w:val="0"/>
          <w:sz w:val="32"/>
          <w:szCs w:val="32"/>
          <w:lang w:bidi="ar"/>
        </w:rPr>
        <w:t>下一步改进措施</w:t>
      </w:r>
    </w:p>
    <w:p>
      <w:pPr>
        <w:pStyle w:val="2"/>
        <w:ind w:left="0" w:leftChars="0" w:firstLine="960" w:firstLineChars="3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无</w:t>
      </w:r>
    </w:p>
    <w:p>
      <w:pPr>
        <w:rPr>
          <w:rFonts w:hint="eastAsia" w:eastAsia="仿宋_GB2312"/>
          <w:lang w:val="en-US" w:eastAsia="zh-CN"/>
        </w:rPr>
      </w:pPr>
    </w:p>
    <w:p>
      <w:pPr>
        <w:autoSpaceDE w:val="0"/>
        <w:autoSpaceDN w:val="0"/>
        <w:adjustRightInd w:val="0"/>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（三）部门评价项目绩效评价结果。</w:t>
      </w:r>
    </w:p>
    <w:p>
      <w:pPr>
        <w:autoSpaceDE w:val="0"/>
        <w:autoSpaceDN w:val="0"/>
        <w:adjustRightInd w:val="0"/>
        <w:ind w:firstLine="640" w:firstLineChars="200"/>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lang w:val="en"/>
        </w:rPr>
        <w:t>本单位无所属二级单位，已开展项目绩效自评，无需开展部门评价，因此无</w:t>
      </w:r>
      <w:r>
        <w:rPr>
          <w:rFonts w:hint="eastAsia" w:ascii="仿宋_GB2312" w:hAnsi="仿宋_GB2312" w:eastAsia="仿宋_GB2312" w:cs="仿宋_GB2312"/>
          <w:color w:val="000000"/>
          <w:kern w:val="0"/>
          <w:sz w:val="32"/>
          <w:szCs w:val="32"/>
        </w:rPr>
        <w:t>部门评价项目绩效评价结果。</w:t>
      </w:r>
    </w:p>
    <w:p>
      <w:pPr>
        <w:pStyle w:val="14"/>
        <w:jc w:val="both"/>
        <w:rPr>
          <w:rFonts w:hint="eastAsia" w:ascii="方正小标宋_GBK" w:hAnsi="方正小标宋_GBK" w:eastAsia="方正小标宋_GBK" w:cs="方正小标宋_GBK"/>
          <w:sz w:val="72"/>
          <w:szCs w:val="72"/>
        </w:rPr>
      </w:pPr>
    </w:p>
    <w:p>
      <w:pPr>
        <w:pStyle w:val="14"/>
        <w:jc w:val="both"/>
        <w:rPr>
          <w:rFonts w:hint="eastAsia" w:ascii="方正小标宋_GBK" w:hAnsi="方正小标宋_GBK" w:eastAsia="方正小标宋_GBK" w:cs="方正小标宋_GBK"/>
          <w:sz w:val="72"/>
          <w:szCs w:val="72"/>
        </w:rPr>
      </w:pPr>
    </w:p>
    <w:p>
      <w:pPr>
        <w:pStyle w:val="14"/>
        <w:jc w:val="both"/>
        <w:rPr>
          <w:rFonts w:hint="eastAsia" w:ascii="方正小标宋_GBK" w:hAnsi="方正小标宋_GBK" w:eastAsia="方正小标宋_GBK" w:cs="方正小标宋_GBK"/>
          <w:sz w:val="72"/>
          <w:szCs w:val="72"/>
        </w:rPr>
      </w:pPr>
    </w:p>
    <w:p>
      <w:pPr>
        <w:pStyle w:val="14"/>
        <w:jc w:val="center"/>
        <w:rPr>
          <w:rFonts w:hint="eastAsia" w:ascii="方正小标宋_GBK" w:hAnsi="方正小标宋_GBK" w:eastAsia="方正小标宋_GBK" w:cs="方正小标宋_GBK"/>
          <w:sz w:val="72"/>
          <w:szCs w:val="72"/>
        </w:rPr>
      </w:pP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pStyle w:val="14"/>
        <w:jc w:val="center"/>
        <w:rPr>
          <w:rFonts w:ascii="黑体" w:eastAsia="黑体" w:cs="黑体"/>
          <w:color w:val="000000"/>
          <w:kern w:val="0"/>
          <w:sz w:val="70"/>
          <w:szCs w:val="70"/>
        </w:rPr>
      </w:pPr>
      <w:r>
        <w:rPr>
          <w:rFonts w:hint="eastAsia" w:ascii="方正小标宋_GBK" w:hAnsi="方正小标宋_GBK" w:eastAsia="方正小标宋_GBK" w:cs="方正小标宋_GBK"/>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2"/>
      </w:pPr>
    </w:p>
    <w:p>
      <w:pPr>
        <w:widowControl/>
        <w:numPr>
          <w:ilvl w:val="0"/>
          <w:numId w:val="5"/>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财政拨款收入：指财政当年拨付的资金，主要包括一般公共预算财政拨款，政府性基金预算财政拨款，国有资本经营预算财政拨款。</w:t>
      </w:r>
    </w:p>
    <w:p>
      <w:pPr>
        <w:widowControl/>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二、上级补助收入：指事业单位从主管部门和上级单位取得的非财政补助收入。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三、事业收入：指事业单位开展专业业务活动及辅助活动所取得的收入。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四、经营收入：指事业单位在专业业务活动及其辅助活动之外开展非独立核算经营活动取得的收入。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五、附属单位上缴收入：指事业单位附属独立核算单位按照有关规定上缴的收入。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六、其他收入：指除上述“财政拨款收入”、“事业收入”、“经营收入”等以外的收入。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七、基本支出：指为保障机构正常运转、完成日常工作任务而发生的各项支出，包括人员支出和公用支出。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八、项目支出：指在基本支出以外为完成相关行政任务和事业发展目标所发生的各项支出。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九、“三公”经费：指通过财政拨款资金安排的因公出国（境）费、公务用车购置及运行费和公务接待费支出。  </w:t>
      </w:r>
    </w:p>
    <w:p>
      <w:pPr>
        <w:widowControl/>
        <w:ind w:firstLine="640" w:firstLineChars="2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sz w:val="32"/>
          <w:szCs w:val="32"/>
          <w:lang w:val="en-US" w:eastAsia="zh-CN"/>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第五部分</w:t>
      </w: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附件</w:t>
      </w:r>
    </w:p>
    <w:p>
      <w:pPr>
        <w:spacing w:line="600" w:lineRule="exact"/>
        <w:ind w:left="638" w:leftChars="304" w:firstLine="0" w:firstLineChars="0"/>
        <w:jc w:val="left"/>
        <w:rPr>
          <w:rFonts w:hint="eastAsia" w:ascii="仿宋_GB2312" w:hAnsi="仿宋_GB2312" w:eastAsia="仿宋_GB2312" w:cs="仿宋_GB2312"/>
          <w:color w:val="FF0000"/>
          <w:sz w:val="32"/>
          <w:szCs w:val="32"/>
          <w:lang w:eastAsia="zh-CN"/>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both"/>
        <w:rPr>
          <w:rFonts w:hint="eastAsia" w:ascii="方正小标宋简体" w:eastAsia="方正小标宋简体"/>
          <w:sz w:val="52"/>
          <w:szCs w:val="52"/>
        </w:rPr>
      </w:pPr>
    </w:p>
    <w:p>
      <w:pPr>
        <w:jc w:val="center"/>
        <w:rPr>
          <w:rFonts w:hint="eastAsia" w:ascii="方正小标宋简体" w:eastAsia="方正小标宋简体"/>
          <w:sz w:val="52"/>
          <w:szCs w:val="52"/>
        </w:rPr>
      </w:pPr>
      <w:r>
        <w:rPr>
          <w:rFonts w:hint="eastAsia" w:ascii="方正小标宋简体" w:eastAsia="方正小标宋简体"/>
          <w:sz w:val="52"/>
          <w:szCs w:val="52"/>
        </w:rPr>
        <w:t>2021年度</w:t>
      </w:r>
      <w:r>
        <w:rPr>
          <w:rFonts w:hint="eastAsia" w:ascii="方正小标宋简体" w:eastAsia="方正小标宋简体"/>
          <w:sz w:val="52"/>
          <w:szCs w:val="52"/>
          <w:lang w:val="en-US" w:eastAsia="zh-CN"/>
        </w:rPr>
        <w:t>永州师范高等专科学校</w:t>
      </w:r>
      <w:r>
        <w:rPr>
          <w:rFonts w:hint="eastAsia" w:ascii="方正小标宋简体" w:eastAsia="方正小标宋简体"/>
          <w:sz w:val="52"/>
          <w:szCs w:val="52"/>
        </w:rPr>
        <w:t>整体支出</w:t>
      </w:r>
    </w:p>
    <w:p>
      <w:pPr>
        <w:jc w:val="center"/>
        <w:rPr>
          <w:rFonts w:hint="eastAsia" w:ascii="方正小标宋简体" w:eastAsia="方正小标宋简体"/>
          <w:sz w:val="52"/>
          <w:szCs w:val="52"/>
        </w:rPr>
      </w:pPr>
      <w:r>
        <w:rPr>
          <w:rFonts w:hint="eastAsia" w:ascii="方正小标宋简体" w:eastAsia="方正小标宋简体"/>
          <w:sz w:val="52"/>
          <w:szCs w:val="52"/>
        </w:rPr>
        <w:t>绩效自评报告</w:t>
      </w:r>
    </w:p>
    <w:p>
      <w:pPr>
        <w:jc w:val="center"/>
        <w:rPr>
          <w:rFonts w:hint="eastAsia" w:ascii="方正小标宋简体" w:eastAsia="方正小标宋简体"/>
          <w:sz w:val="52"/>
          <w:szCs w:val="52"/>
        </w:rPr>
      </w:pPr>
    </w:p>
    <w:p>
      <w:pPr>
        <w:numPr>
          <w:ilvl w:val="0"/>
          <w:numId w:val="6"/>
        </w:numPr>
        <w:spacing w:line="580" w:lineRule="exact"/>
        <w:ind w:firstLine="640" w:firstLineChars="200"/>
        <w:rPr>
          <w:rFonts w:eastAsia="黑体"/>
          <w:sz w:val="32"/>
          <w:szCs w:val="32"/>
        </w:rPr>
      </w:pPr>
      <w:r>
        <w:rPr>
          <w:rFonts w:eastAsia="黑体"/>
          <w:sz w:val="32"/>
          <w:szCs w:val="32"/>
        </w:rPr>
        <w:t>基本情况</w:t>
      </w:r>
    </w:p>
    <w:p>
      <w:pPr>
        <w:keepNext w:val="0"/>
        <w:keepLines w:val="0"/>
        <w:pageBreakBefore w:val="0"/>
        <w:numPr>
          <w:ilvl w:val="0"/>
          <w:numId w:val="7"/>
        </w:numPr>
        <w:kinsoku/>
        <w:wordWrap/>
        <w:overflowPunct/>
        <w:topLinePunct w:val="0"/>
        <w:autoSpaceDE/>
        <w:autoSpaceDN/>
        <w:bidi w:val="0"/>
        <w:adjustRightInd/>
        <w:snapToGrid/>
        <w:spacing w:line="360" w:lineRule="auto"/>
        <w:ind w:left="0" w:leftChars="0" w:right="0" w:rightChars="0" w:firstLine="48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主要工作职能</w:t>
      </w:r>
    </w:p>
    <w:p>
      <w:pPr>
        <w:widowControl/>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永州师范高等专科学校秉承“学高为师，身正为范”的校训，立足永州、面向全省、辐射周边省市，培养德智体美劳全面发展、“一专多能”、服务基础教育和经济社会发展的高素质人才。</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sz w:val="32"/>
          <w:szCs w:val="32"/>
        </w:rPr>
      </w:pPr>
      <w:r>
        <w:t xml:space="preserve">     </w:t>
      </w:r>
      <w:r>
        <w:rPr>
          <w:rFonts w:hint="eastAsia" w:ascii="宋体" w:hAnsi="宋体" w:eastAsia="宋体" w:cs="宋体"/>
          <w:b/>
          <w:bCs/>
          <w:sz w:val="28"/>
          <w:szCs w:val="28"/>
        </w:rPr>
        <w:t>（</w:t>
      </w:r>
      <w:r>
        <w:rPr>
          <w:rFonts w:hint="eastAsia" w:ascii="宋体" w:hAnsi="宋体" w:cs="宋体"/>
          <w:b/>
          <w:bCs/>
          <w:sz w:val="28"/>
          <w:szCs w:val="28"/>
          <w:lang w:eastAsia="zh-CN"/>
        </w:rPr>
        <w:t>二</w:t>
      </w:r>
      <w:r>
        <w:rPr>
          <w:rFonts w:hint="eastAsia" w:ascii="宋体" w:hAnsi="宋体" w:eastAsia="宋体" w:cs="宋体"/>
          <w:b/>
          <w:bCs/>
          <w:sz w:val="28"/>
          <w:szCs w:val="28"/>
        </w:rPr>
        <w:t>）</w:t>
      </w:r>
      <w:r>
        <w:rPr>
          <w:rFonts w:hint="eastAsia" w:ascii="楷体_GB2312" w:hAnsi="楷体_GB2312" w:eastAsia="楷体_GB2312" w:cs="楷体_GB2312"/>
          <w:b/>
          <w:bCs/>
          <w:kern w:val="2"/>
          <w:sz w:val="32"/>
          <w:szCs w:val="32"/>
          <w:lang w:val="en-US" w:eastAsia="zh-CN" w:bidi="ar-SA"/>
        </w:rPr>
        <w:t>机构设置、人员情况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pPr>
      <w:r>
        <w:rPr>
          <w:rFonts w:hint="eastAsia" w:ascii="仿宋_GB2312" w:hAnsi="仿宋_GB2312" w:eastAsia="仿宋_GB2312" w:cs="仿宋_GB2312"/>
          <w:color w:val="000000"/>
          <w:sz w:val="32"/>
          <w:szCs w:val="32"/>
          <w:lang w:val="en-US" w:eastAsia="zh-CN"/>
        </w:rPr>
        <w:t>永州师范高等专科学校</w:t>
      </w:r>
      <w:r>
        <w:rPr>
          <w:rFonts w:hint="eastAsia" w:ascii="仿宋_GB2312" w:hAnsi="仿宋_GB2312" w:eastAsia="仿宋_GB2312" w:cs="仿宋_GB2312"/>
          <w:color w:val="000000"/>
          <w:sz w:val="32"/>
          <w:szCs w:val="32"/>
        </w:rPr>
        <w:t>属全额拨款事业单位，编制人数为</w:t>
      </w:r>
      <w:r>
        <w:rPr>
          <w:rFonts w:hint="eastAsia" w:ascii="仿宋_GB2312" w:hAnsi="仿宋_GB2312" w:eastAsia="仿宋_GB2312" w:cs="仿宋_GB2312"/>
          <w:color w:val="000000"/>
          <w:sz w:val="32"/>
          <w:szCs w:val="32"/>
          <w:lang w:val="en-US" w:eastAsia="zh-CN"/>
        </w:rPr>
        <w:t>450</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在职</w:t>
      </w:r>
      <w:r>
        <w:rPr>
          <w:rFonts w:hint="eastAsia" w:ascii="仿宋_GB2312" w:hAnsi="仿宋_GB2312" w:eastAsia="仿宋_GB2312" w:cs="仿宋_GB2312"/>
          <w:color w:val="000000"/>
          <w:sz w:val="32"/>
          <w:szCs w:val="32"/>
          <w:lang w:eastAsia="zh-CN"/>
        </w:rPr>
        <w:t>在编</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val="en-US" w:eastAsia="zh-CN"/>
        </w:rPr>
        <w:t>297</w:t>
      </w:r>
      <w:r>
        <w:rPr>
          <w:rFonts w:hint="eastAsia" w:ascii="仿宋_GB2312" w:hAnsi="仿宋_GB2312" w:eastAsia="仿宋_GB2312" w:cs="仿宋_GB2312"/>
          <w:color w:val="000000"/>
          <w:sz w:val="32"/>
          <w:szCs w:val="32"/>
        </w:rPr>
        <w:t xml:space="preserve">人、退休人员 </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val="en-US" w:eastAsia="zh-CN"/>
        </w:rPr>
        <w:t>学校设置党政办、组织人事处、宣传统战办、纪检监督审计处、教务处、科研处、学生处、计划财务校产处、后勤基建处、招生就业处、督导室、安保法制处、继续教育部、工会、团委等中层职能部门。</w:t>
      </w:r>
      <w:r>
        <w:rPr>
          <w:rFonts w:hint="eastAsia" w:ascii="仿宋_GB2312" w:hAnsi="仿宋" w:eastAsia="仿宋_GB2312" w:cs="仿宋_GB2312"/>
          <w:color w:val="000000"/>
          <w:kern w:val="2"/>
          <w:sz w:val="32"/>
          <w:szCs w:val="32"/>
          <w:lang w:val="en-US" w:eastAsia="zh-CN" w:bidi="ar"/>
        </w:rPr>
        <w:t>市编办核定本部门编制450人，</w:t>
      </w:r>
      <w:r>
        <w:rPr>
          <w:rFonts w:hint="eastAsia" w:ascii="仿宋_GB2312" w:eastAsia="仿宋_GB2312"/>
          <w:sz w:val="32"/>
          <w:szCs w:val="32"/>
          <w:lang w:val="en-US" w:eastAsia="zh-CN"/>
        </w:rPr>
        <w:t>现有</w:t>
      </w:r>
      <w:r>
        <w:rPr>
          <w:rFonts w:hint="eastAsia" w:ascii="仿宋_GB2312" w:eastAsia="仿宋_GB2312"/>
          <w:sz w:val="32"/>
          <w:szCs w:val="32"/>
        </w:rPr>
        <w:t>在职</w:t>
      </w:r>
      <w:r>
        <w:rPr>
          <w:rFonts w:hint="eastAsia" w:ascii="仿宋_GB2312" w:eastAsia="仿宋_GB2312"/>
          <w:sz w:val="32"/>
          <w:szCs w:val="32"/>
          <w:lang w:val="en-US" w:eastAsia="zh-CN"/>
        </w:rPr>
        <w:t>在编</w:t>
      </w:r>
      <w:r>
        <w:rPr>
          <w:rFonts w:hint="eastAsia" w:ascii="仿宋_GB2312" w:eastAsia="仿宋_GB2312"/>
          <w:sz w:val="32"/>
          <w:szCs w:val="32"/>
        </w:rPr>
        <w:t>人员</w:t>
      </w:r>
      <w:r>
        <w:rPr>
          <w:rFonts w:hint="eastAsia" w:ascii="仿宋_GB2312" w:eastAsia="仿宋_GB2312"/>
          <w:sz w:val="32"/>
          <w:szCs w:val="32"/>
          <w:lang w:val="en-US" w:eastAsia="zh-CN"/>
        </w:rPr>
        <w:t>297</w:t>
      </w:r>
      <w:r>
        <w:rPr>
          <w:rFonts w:hint="eastAsia" w:ascii="仿宋_GB2312" w:eastAsia="仿宋_GB2312"/>
          <w:sz w:val="32"/>
          <w:szCs w:val="32"/>
        </w:rPr>
        <w:t>人，退休人员</w:t>
      </w:r>
      <w:r>
        <w:rPr>
          <w:rFonts w:hint="eastAsia" w:ascii="仿宋_GB2312" w:eastAsia="仿宋_GB2312"/>
          <w:sz w:val="32"/>
          <w:szCs w:val="32"/>
          <w:lang w:val="en-US" w:eastAsia="zh-CN"/>
        </w:rPr>
        <w:t>97</w:t>
      </w:r>
      <w:r>
        <w:rPr>
          <w:rFonts w:hint="eastAsia" w:ascii="仿宋_GB2312" w:eastAsia="仿宋_GB2312"/>
          <w:sz w:val="32"/>
          <w:szCs w:val="32"/>
        </w:rPr>
        <w:t>人。</w:t>
      </w:r>
    </w:p>
    <w:p>
      <w:pPr>
        <w:pStyle w:val="15"/>
        <w:spacing w:line="580" w:lineRule="exact"/>
        <w:ind w:firstLine="640"/>
        <w:rPr>
          <w:rFonts w:ascii="Times New Roman" w:hAnsi="Times New Roman" w:eastAsia="黑体"/>
          <w:sz w:val="32"/>
          <w:szCs w:val="32"/>
          <w:highlight w:val="red"/>
        </w:rPr>
      </w:pPr>
      <w:r>
        <w:rPr>
          <w:rFonts w:ascii="Times New Roman" w:hAnsi="Times New Roman" w:eastAsia="黑体"/>
          <w:sz w:val="32"/>
          <w:szCs w:val="32"/>
        </w:rPr>
        <w:t>二、一般公共预算</w:t>
      </w:r>
      <w:r>
        <w:rPr>
          <w:rFonts w:hint="eastAsia" w:ascii="Times New Roman" w:hAnsi="Times New Roman" w:eastAsia="黑体"/>
          <w:sz w:val="32"/>
          <w:szCs w:val="32"/>
        </w:rPr>
        <w:t>和财政专户安排的</w:t>
      </w:r>
      <w:r>
        <w:rPr>
          <w:rFonts w:ascii="Times New Roman" w:hAnsi="Times New Roman" w:eastAsia="黑体"/>
          <w:sz w:val="32"/>
          <w:szCs w:val="32"/>
        </w:rPr>
        <w:t>情况</w:t>
      </w:r>
    </w:p>
    <w:p>
      <w:pPr>
        <w:pStyle w:val="15"/>
        <w:spacing w:line="580" w:lineRule="exact"/>
        <w:ind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（一）基本支出情况</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2021年度基本支出总计6085.43万元，其中：工资福利支出4100.58</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；商品和服务支出1687.78万元；对个人和家庭的补助180.87万元；资本性支出116.19万元。</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资福利支出4100.58万元，包括基本工资1235.95万元、津贴补贴25.2万元、奖金848.19万元、伙食补助67.9万元、绩效工资1319.31万元、基本养老保险缴费384.64万元、职业年金缴费12.43万元、基本医疗保险缴费193.05万元、其他社会保障缴费13.91万元。</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品和服务支出1687.78万元，包括办公费38万元、印刷费15.79万元、手续费0.08万元、水费60.15万元、电费40.04万元、邮电费1.56万元、物业管理费85.7万元、差旅费46.32万元、维修（护）费83.14万元、租赁费11.18万元、培训费7.44万元、公务接待费23.62万元、专用材料费132.34万元、劳务费173.84万元、委托业务费469.17万元、工会经费98.81万元、公务用车运行维护费5.32万元、其他交通费用3.55万元、其他商品和服务支出391.73万元。</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对个人和家庭的补助180.87万元，包括退休费83.5万元、抚恤金39.91万元、生活补助8.07万元、助学金33.55万元、奖励金4.5万元、其他对个人和家庭的补助11.35万元。</w:t>
      </w:r>
    </w:p>
    <w:p>
      <w:pPr>
        <w:widowControl/>
        <w:spacing w:line="580" w:lineRule="exact"/>
        <w:ind w:firstLine="640" w:firstLineChars="200"/>
        <w:rPr>
          <w:rFonts w:ascii="宋体" w:hAnsi="宋体" w:cs="宋体"/>
          <w:sz w:val="24"/>
          <w:szCs w:val="24"/>
        </w:rPr>
      </w:pPr>
      <w:r>
        <w:rPr>
          <w:rFonts w:hint="eastAsia" w:ascii="仿宋_GB2312" w:hAnsi="仿宋_GB2312" w:eastAsia="仿宋_GB2312" w:cs="仿宋_GB2312"/>
          <w:sz w:val="32"/>
          <w:szCs w:val="32"/>
        </w:rPr>
        <w:t>资本性支出116.19万元，包括办公设备购置85.19万元、其他资本性支出31万元。</w:t>
      </w:r>
    </w:p>
    <w:p>
      <w:pPr>
        <w:pStyle w:val="15"/>
        <w:numPr>
          <w:ilvl w:val="0"/>
          <w:numId w:val="7"/>
        </w:numPr>
        <w:spacing w:line="580" w:lineRule="exact"/>
        <w:ind w:firstLine="480" w:firstLineChars="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项目支出情况</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2021年度项目支出总计1429.19万元，包括中职学生免学费专项资金798万元、公费</w:t>
      </w:r>
      <w:r>
        <w:rPr>
          <w:rFonts w:ascii="仿宋_GB2312" w:hAnsi="仿宋_GB2312" w:eastAsia="仿宋_GB2312" w:cs="仿宋_GB2312"/>
          <w:sz w:val="32"/>
          <w:szCs w:val="32"/>
        </w:rPr>
        <w:t>定向师范生</w:t>
      </w:r>
      <w:r>
        <w:rPr>
          <w:rFonts w:hint="eastAsia" w:ascii="仿宋_GB2312" w:hAnsi="仿宋_GB2312" w:eastAsia="仿宋_GB2312" w:cs="仿宋_GB2312"/>
          <w:sz w:val="32"/>
          <w:szCs w:val="32"/>
        </w:rPr>
        <w:t>免学费配套专项资金284.22万元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改善中职办学条件专项资金238.39万元、图书馆建设资金108.58万元。</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中职学生免学费专项资金到位798万元，实际支出798万元，支出实现率100%；公费</w:t>
      </w:r>
      <w:r>
        <w:rPr>
          <w:rFonts w:ascii="仿宋_GB2312" w:hAnsi="仿宋_GB2312" w:eastAsia="仿宋_GB2312" w:cs="仿宋_GB2312"/>
          <w:sz w:val="32"/>
          <w:szCs w:val="32"/>
        </w:rPr>
        <w:t>定向师范生</w:t>
      </w:r>
      <w:r>
        <w:rPr>
          <w:rFonts w:hint="eastAsia" w:ascii="仿宋_GB2312" w:hAnsi="仿宋_GB2312" w:eastAsia="仿宋_GB2312" w:cs="仿宋_GB2312"/>
          <w:sz w:val="32"/>
          <w:szCs w:val="32"/>
        </w:rPr>
        <w:t>免学费配套专项资金到位284.22万元，实际支出284.22万元，支出实现率100%；改善中职办学条件专项资金到位238.39万元，实际支出238.39万元，支出实现率100%；图书馆建设专项资金到位108.58万元，实际支出108.58万元，支出实现率100%。</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我校制定了专项资金管理办法，进一步规范专项资金管理，提高资金使用效率，做到专款专用，无截留、卡扣、占用和挪用等情况，财务制度健全，会计核算规范。</w:t>
      </w:r>
    </w:p>
    <w:p>
      <w:pPr>
        <w:pStyle w:val="15"/>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政府性基金预算支出情况</w:t>
      </w:r>
    </w:p>
    <w:p>
      <w:pPr>
        <w:pStyle w:val="15"/>
        <w:numPr>
          <w:ilvl w:val="0"/>
          <w:numId w:val="0"/>
        </w:numPr>
        <w:spacing w:line="580" w:lineRule="exact"/>
        <w:ind w:firstLine="640" w:firstLineChars="200"/>
        <w:jc w:val="both"/>
        <w:rPr>
          <w:rFonts w:hint="eastAsia" w:ascii="Times New Roman" w:hAnsi="Times New Roman" w:eastAsia="黑体"/>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本单位无政府性基金预算安排的支出。</w:t>
      </w:r>
    </w:p>
    <w:p>
      <w:pPr>
        <w:pStyle w:val="15"/>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四、</w:t>
      </w:r>
      <w:r>
        <w:rPr>
          <w:rFonts w:ascii="Times New Roman" w:hAnsi="Times New Roman" w:eastAsia="黑体"/>
          <w:sz w:val="32"/>
          <w:szCs w:val="32"/>
        </w:rPr>
        <w:t>国有资本经营预算支出情况</w:t>
      </w:r>
    </w:p>
    <w:p>
      <w:pPr>
        <w:pStyle w:val="15"/>
        <w:numPr>
          <w:ilvl w:val="0"/>
          <w:numId w:val="0"/>
        </w:numPr>
        <w:spacing w:line="580" w:lineRule="exact"/>
        <w:ind w:firstLine="640" w:firstLineChars="200"/>
        <w:jc w:val="both"/>
        <w:rPr>
          <w:rFonts w:hint="eastAsia" w:ascii="Times New Roman" w:hAnsi="Times New Roman" w:eastAsia="黑体"/>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本单位无国有资本经营预算安排的支出。</w:t>
      </w:r>
    </w:p>
    <w:p>
      <w:pPr>
        <w:pStyle w:val="15"/>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五、</w:t>
      </w:r>
      <w:r>
        <w:rPr>
          <w:rFonts w:ascii="Times New Roman" w:hAnsi="Times New Roman" w:eastAsia="黑体"/>
          <w:sz w:val="32"/>
          <w:szCs w:val="32"/>
        </w:rPr>
        <w:t>社会保险基金预算支出情况</w:t>
      </w:r>
    </w:p>
    <w:p>
      <w:pPr>
        <w:pStyle w:val="15"/>
        <w:numPr>
          <w:ilvl w:val="0"/>
          <w:numId w:val="0"/>
        </w:numPr>
        <w:spacing w:line="580" w:lineRule="exact"/>
        <w:ind w:firstLine="640" w:firstLineChars="200"/>
        <w:jc w:val="both"/>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本单位无社会保险基金预算安排的支出。</w:t>
      </w:r>
    </w:p>
    <w:p>
      <w:pPr>
        <w:pStyle w:val="15"/>
        <w:numPr>
          <w:ilvl w:val="0"/>
          <w:numId w:val="0"/>
        </w:numPr>
        <w:spacing w:line="580" w:lineRule="exact"/>
        <w:ind w:firstLine="640" w:firstLineChars="200"/>
        <w:jc w:val="both"/>
        <w:rPr>
          <w:rFonts w:hint="eastAsia" w:ascii="Times New Roman" w:hAnsi="Times New Roman" w:eastAsia="黑体"/>
          <w:sz w:val="32"/>
          <w:szCs w:val="32"/>
          <w:lang w:eastAsia="zh-CN"/>
        </w:rPr>
      </w:pPr>
      <w:r>
        <w:rPr>
          <w:rFonts w:hint="eastAsia" w:ascii="Times New Roman" w:hAnsi="Times New Roman" w:eastAsia="黑体"/>
          <w:sz w:val="32"/>
          <w:szCs w:val="32"/>
          <w:lang w:val="en-US" w:eastAsia="zh-CN"/>
        </w:rPr>
        <w:t>六、</w:t>
      </w:r>
      <w:r>
        <w:rPr>
          <w:rFonts w:hint="eastAsia" w:ascii="Times New Roman" w:hAnsi="Times New Roman" w:eastAsia="黑体"/>
          <w:sz w:val="32"/>
          <w:szCs w:val="32"/>
          <w:lang w:eastAsia="zh-CN"/>
        </w:rPr>
        <w:t>部门整体支出绩效情况</w:t>
      </w:r>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从整体情况来看，本部门严格按照年初预算进行部门整体支出。在支出过程中，严格执行国家财政法律法规，并结合本校实际情况制定了各项规章制度，明确了经费审批权限及程序，经费预算管理、财务监督，开展公用经费使用监督和绩效评估，进一步落实厉行节约的各项规定，确保“三公经费”使用合理合规。</w:t>
      </w:r>
    </w:p>
    <w:p>
      <w:pPr>
        <w:pStyle w:val="15"/>
        <w:numPr>
          <w:ilvl w:val="0"/>
          <w:numId w:val="8"/>
        </w:numPr>
        <w:spacing w:line="580" w:lineRule="exact"/>
        <w:ind w:firstLine="640"/>
        <w:jc w:val="both"/>
        <w:rPr>
          <w:rFonts w:ascii="Times New Roman" w:hAnsi="Times New Roman" w:eastAsia="黑体"/>
          <w:sz w:val="32"/>
          <w:szCs w:val="32"/>
        </w:rPr>
      </w:pPr>
      <w:r>
        <w:rPr>
          <w:rFonts w:ascii="Times New Roman" w:hAnsi="Times New Roman" w:eastAsia="黑体"/>
          <w:sz w:val="32"/>
          <w:szCs w:val="32"/>
        </w:rPr>
        <w:t>存在的问题及原因分析</w:t>
      </w:r>
    </w:p>
    <w:p>
      <w:pPr>
        <w:spacing w:line="580" w:lineRule="exact"/>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1、预算编制不够科学合理，年内预算追加金额较大，预算编制的合理性有待进一步提高。</w:t>
      </w:r>
    </w:p>
    <w:p>
      <w:pPr>
        <w:spacing w:line="58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2、年初预算绩效目标不够明确，绩效指标未细化和量化。</w:t>
      </w:r>
    </w:p>
    <w:p>
      <w:pPr>
        <w:spacing w:line="580" w:lineRule="exact"/>
        <w:ind w:firstLine="640" w:firstLineChars="20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八、下一步改进措施</w:t>
      </w:r>
    </w:p>
    <w:p>
      <w:pPr>
        <w:spacing w:line="580" w:lineRule="exact"/>
        <w:ind w:firstLine="640" w:firstLineChars="2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纠正偏差，为下一次科学、准确地编制部门预算积累经验。</w:t>
      </w:r>
    </w:p>
    <w:p>
      <w:pPr>
        <w:spacing w:line="580" w:lineRule="exact"/>
        <w:ind w:firstLine="640" w:firstLineChars="200"/>
        <w:jc w:val="both"/>
        <w:rPr>
          <w:rFonts w:eastAsia="黑体"/>
          <w:sz w:val="32"/>
          <w:szCs w:val="32"/>
        </w:rPr>
      </w:pPr>
      <w:r>
        <w:rPr>
          <w:rFonts w:eastAsia="黑体"/>
          <w:sz w:val="32"/>
          <w:szCs w:val="32"/>
        </w:rPr>
        <w:t>九、部门整体支出绩效自评结果拟应用和公开情况</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pPr>
      <w:r>
        <w:rPr>
          <w:rFonts w:hint="eastAsia" w:ascii="仿宋_GB2312" w:hAnsi="仿宋_GB2312" w:eastAsia="仿宋_GB2312" w:cs="仿宋_GB2312"/>
          <w:b w:val="0"/>
          <w:bCs w:val="0"/>
          <w:kern w:val="0"/>
          <w:sz w:val="32"/>
          <w:szCs w:val="32"/>
          <w:lang w:val="en-US" w:eastAsia="zh-CN"/>
        </w:rPr>
        <w:t>以部门整体支出绩效自评为契机，进一步强化绩效考核与评价意识。部门整体支出绩效自评在部门官网实施公开。</w:t>
      </w:r>
    </w:p>
    <w:p>
      <w:pPr>
        <w:spacing w:line="580" w:lineRule="exact"/>
        <w:ind w:firstLine="640" w:firstLineChars="200"/>
        <w:jc w:val="both"/>
        <w:rPr>
          <w:rFonts w:eastAsia="黑体"/>
          <w:sz w:val="32"/>
          <w:szCs w:val="32"/>
        </w:rPr>
      </w:pPr>
      <w:r>
        <w:rPr>
          <w:rFonts w:hint="eastAsia" w:eastAsia="黑体"/>
          <w:sz w:val="32"/>
          <w:szCs w:val="32"/>
        </w:rPr>
        <w:t>十、</w:t>
      </w:r>
      <w:r>
        <w:rPr>
          <w:rFonts w:eastAsia="黑体"/>
          <w:sz w:val="32"/>
          <w:szCs w:val="32"/>
        </w:rPr>
        <w:t>其他需要说明的情况</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无</w:t>
      </w:r>
    </w:p>
    <w:p>
      <w:pPr>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 xml:space="preserve">1.2021年度部门整体支出绩效评价基础数据表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2.2021年度部门整体支出绩效自评表</w:t>
      </w:r>
    </w:p>
    <w:p>
      <w:pPr>
        <w:adjustRightInd w:val="0"/>
        <w:snapToGrid w:val="0"/>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2021年度项目支出绩效自评报告</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4.2021年度</w:t>
      </w:r>
      <w:r>
        <w:rPr>
          <w:rFonts w:hint="eastAsia" w:ascii="仿宋_GB2312" w:hAnsi="仿宋_GB2312" w:eastAsia="仿宋_GB2312" w:cs="仿宋_GB2312"/>
          <w:sz w:val="32"/>
          <w:szCs w:val="32"/>
        </w:rPr>
        <w:t>项目支出绩效自评表</w:t>
      </w: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rPr>
      </w:pPr>
    </w:p>
    <w:tbl>
      <w:tblPr>
        <w:tblStyle w:val="10"/>
        <w:tblW w:w="10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79"/>
        <w:gridCol w:w="816"/>
        <w:gridCol w:w="1098"/>
        <w:gridCol w:w="814"/>
        <w:gridCol w:w="1098"/>
        <w:gridCol w:w="81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058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2021年度部门整体支出绩效评价基础数据表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trPr>
        <w:tc>
          <w:tcPr>
            <w:tcW w:w="4879"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财政供养人员情况（人）</w:t>
            </w:r>
          </w:p>
        </w:tc>
        <w:tc>
          <w:tcPr>
            <w:tcW w:w="1914" w:type="dxa"/>
            <w:gridSpan w:val="2"/>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编制数</w:t>
            </w:r>
          </w:p>
        </w:tc>
        <w:tc>
          <w:tcPr>
            <w:tcW w:w="1912" w:type="dxa"/>
            <w:gridSpan w:val="2"/>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2021</w:t>
            </w:r>
            <w:r>
              <w:rPr>
                <w:rStyle w:val="20"/>
                <w:lang w:val="en-US" w:eastAsia="zh-CN" w:bidi="ar"/>
              </w:rPr>
              <w:t>年实际在职人数</w:t>
            </w:r>
          </w:p>
        </w:tc>
        <w:tc>
          <w:tcPr>
            <w:tcW w:w="1875" w:type="dxa"/>
            <w:gridSpan w:val="2"/>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879"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经费控制情况（万元）</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2020</w:t>
            </w:r>
            <w:r>
              <w:rPr>
                <w:rStyle w:val="20"/>
                <w:lang w:val="en-US" w:eastAsia="zh-CN" w:bidi="ar"/>
              </w:rPr>
              <w:t>年决算数</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2021</w:t>
            </w:r>
            <w:r>
              <w:rPr>
                <w:rStyle w:val="20"/>
                <w:lang w:val="en-US" w:eastAsia="zh-CN" w:bidi="ar"/>
              </w:rPr>
              <w:t>年预算数</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2021</w:t>
            </w:r>
            <w:r>
              <w:rPr>
                <w:rStyle w:val="20"/>
                <w:lang w:val="en-US" w:eastAsia="zh-CN" w:bidi="ar"/>
              </w:rPr>
              <w:t>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一、部门基本支出</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71,22.23</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5701.26</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其中：公用经费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3422.05</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3033.03</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其中：办公经费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3422.05</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3033.03</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水费、电费、差旅费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385.23</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420</w:t>
            </w:r>
          </w:p>
        </w:tc>
        <w:tc>
          <w:tcPr>
            <w:tcW w:w="1875"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会议费、培训费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1875"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宋体" w:cs="Times New Roman"/>
                <w:i w:val="0"/>
                <w:iCs w:val="0"/>
                <w:color w:val="000000"/>
                <w:kern w:val="0"/>
                <w:sz w:val="20"/>
                <w:szCs w:val="20"/>
                <w:u w:val="none"/>
                <w:lang w:val="en-US" w:eastAsia="zh-CN" w:bidi="ar"/>
              </w:rPr>
              <w:t>6</w:t>
            </w: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21"/>
                <w:lang w:val="en-US" w:eastAsia="zh-CN" w:bidi="ar"/>
              </w:rPr>
              <w:t>、公务用车购置和维护经费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其中：公交车购置</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21"/>
                <w:lang w:val="en-US" w:eastAsia="zh-CN" w:bidi="ar"/>
              </w:rPr>
              <w:t>公交车运行维护</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2</w:t>
            </w:r>
            <w:r>
              <w:rPr>
                <w:rStyle w:val="21"/>
                <w:lang w:val="en-US" w:eastAsia="zh-CN" w:bidi="ar"/>
              </w:rPr>
              <w:t>、出国经费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3</w:t>
            </w:r>
            <w:r>
              <w:rPr>
                <w:rStyle w:val="21"/>
                <w:lang w:val="en-US" w:eastAsia="zh-CN" w:bidi="ar"/>
              </w:rPr>
              <w:t>、公务接待</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宋体" w:cs="Times New Roman"/>
                <w:i w:val="0"/>
                <w:iCs w:val="0"/>
                <w:color w:val="000000"/>
                <w:kern w:val="0"/>
                <w:sz w:val="20"/>
                <w:szCs w:val="20"/>
                <w:u w:val="none"/>
                <w:lang w:val="en-US" w:eastAsia="zh-CN" w:bidi="ar"/>
              </w:rPr>
              <w:t>0</w:t>
            </w: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rPr>
            </w:pPr>
            <w:r>
              <w:rPr>
                <w:rFonts w:hint="eastAsia" w:ascii="Times New Roman" w:hAnsi="Times New Roman" w:eastAsia="宋体" w:cs="Times New Roman"/>
                <w:i w:val="0"/>
                <w:iCs w:val="0"/>
                <w:color w:val="000000"/>
                <w:kern w:val="0"/>
                <w:sz w:val="20"/>
                <w:szCs w:val="20"/>
                <w:u w:val="none"/>
                <w:lang w:val="en-US" w:eastAsia="zh-CN" w:bidi="ar"/>
              </w:rPr>
              <w:t>23.62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二、部门项目支出</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6000</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1429.19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1</w:t>
            </w:r>
            <w:r>
              <w:rPr>
                <w:rStyle w:val="21"/>
                <w:lang w:val="en-US" w:eastAsia="zh-CN" w:bidi="ar"/>
              </w:rPr>
              <w:t>、业务工作经费（一个项目一行）</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2</w:t>
            </w:r>
            <w:r>
              <w:rPr>
                <w:rFonts w:hint="eastAsia" w:ascii="宋体" w:hAnsi="宋体" w:eastAsia="宋体" w:cs="宋体"/>
                <w:i w:val="0"/>
                <w:iCs w:val="0"/>
                <w:color w:val="000000"/>
                <w:kern w:val="0"/>
                <w:sz w:val="20"/>
                <w:szCs w:val="20"/>
                <w:u w:val="none"/>
                <w:lang w:val="en-US" w:eastAsia="zh-CN" w:bidi="ar"/>
              </w:rPr>
              <w:t>、运行维护经费（一个专项一行）</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3</w:t>
            </w:r>
            <w:r>
              <w:rPr>
                <w:rStyle w:val="21"/>
                <w:lang w:val="en-US" w:eastAsia="zh-CN" w:bidi="ar"/>
              </w:rPr>
              <w:t xml:space="preserve">、市级专项资金（一个项目一行）  </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永州幼儿师范高等专科学校建设资金</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6000</w:t>
            </w: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1429.19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中职学生免学费专项资金</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公费定向师范生免学费配套专项资金</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改善中职办学条件专项资金</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图书馆建设专项资金</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政府采购金额</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部门基本支出预算调整</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384.17</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4879" w:type="dxa"/>
            <w:vMerge w:val="restart"/>
            <w:tcBorders>
              <w:top w:val="single" w:color="000000" w:sz="8" w:space="0"/>
              <w:left w:val="single" w:color="000000" w:sz="12"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楼堂馆所控制情况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（2021年完工项目）</w:t>
            </w:r>
          </w:p>
        </w:tc>
        <w:tc>
          <w:tcPr>
            <w:tcW w:w="81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批复规模</w:t>
            </w:r>
          </w:p>
        </w:tc>
        <w:tc>
          <w:tcPr>
            <w:tcW w:w="10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实际规模（</w:t>
            </w:r>
            <w:r>
              <w:rPr>
                <w:rStyle w:val="21"/>
                <w:lang w:val="en-US" w:eastAsia="zh-CN" w:bidi="ar"/>
              </w:rPr>
              <w:t>㎡）</w:t>
            </w:r>
          </w:p>
        </w:tc>
        <w:tc>
          <w:tcPr>
            <w:tcW w:w="81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规模控制率</w:t>
            </w:r>
          </w:p>
        </w:tc>
        <w:tc>
          <w:tcPr>
            <w:tcW w:w="10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预算投资（万元）</w:t>
            </w:r>
          </w:p>
        </w:tc>
        <w:tc>
          <w:tcPr>
            <w:tcW w:w="81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实际投资（万元）</w:t>
            </w:r>
          </w:p>
        </w:tc>
        <w:tc>
          <w:tcPr>
            <w:tcW w:w="1061"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投资概算控制率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879"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Style w:val="21"/>
                <w:lang w:val="en-US" w:eastAsia="zh-CN" w:bidi="ar"/>
              </w:rPr>
              <w:t>㎡）</w:t>
            </w:r>
          </w:p>
        </w:tc>
        <w:tc>
          <w:tcPr>
            <w:tcW w:w="10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1"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0" w:type="auto"/>
            <w:tcBorders>
              <w:top w:val="nil"/>
              <w:left w:val="single" w:color="000000" w:sz="12"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61"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4879" w:type="dxa"/>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厉行节约保障措施</w:t>
            </w:r>
          </w:p>
        </w:tc>
        <w:tc>
          <w:tcPr>
            <w:tcW w:w="5701" w:type="dxa"/>
            <w:gridSpan w:val="6"/>
            <w:tcBorders>
              <w:top w:val="single" w:color="000000" w:sz="8" w:space="0"/>
              <w:left w:val="single" w:color="000000" w:sz="8"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1、培养节约意识，大兴勤俭之风。2、严格控制日常公用经费支出。3、严格控制公务接待支出、公务用车支出。</w:t>
            </w:r>
          </w:p>
        </w:tc>
      </w:tr>
    </w:tbl>
    <w:p>
      <w:pPr>
        <w:pStyle w:val="2"/>
        <w:rPr>
          <w:rFonts w:hint="eastAsia"/>
        </w:rPr>
      </w:pPr>
    </w:p>
    <w:p>
      <w:pPr>
        <w:rPr>
          <w:rFonts w:hint="eastAsia"/>
        </w:rPr>
      </w:pPr>
    </w:p>
    <w:p>
      <w:pPr>
        <w:pStyle w:val="2"/>
        <w:rPr>
          <w:rFonts w:hint="eastAsia"/>
        </w:rPr>
      </w:pPr>
    </w:p>
    <w:p>
      <w:pPr>
        <w:keepNext w:val="0"/>
        <w:keepLines w:val="0"/>
        <w:widowControl/>
        <w:suppressLineNumbers w:val="0"/>
        <w:jc w:val="center"/>
        <w:textAlignment w:val="center"/>
        <w:rPr>
          <w:rFonts w:hint="eastAsia" w:ascii="宋体" w:hAnsi="宋体" w:eastAsia="宋体" w:cs="宋体"/>
          <w:i w:val="0"/>
          <w:iCs w:val="0"/>
          <w:color w:val="000000"/>
          <w:kern w:val="0"/>
          <w:sz w:val="44"/>
          <w:szCs w:val="44"/>
          <w:u w:val="none"/>
          <w:lang w:val="en-US" w:eastAsia="zh-CN" w:bidi="ar"/>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5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6"/>
        <w:gridCol w:w="1044"/>
        <w:gridCol w:w="1046"/>
        <w:gridCol w:w="2016"/>
        <w:gridCol w:w="647"/>
        <w:gridCol w:w="1416"/>
        <w:gridCol w:w="1270"/>
        <w:gridCol w:w="1044"/>
        <w:gridCol w:w="1221"/>
        <w:gridCol w:w="3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15400"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1726" w:type="dxa"/>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17"/>
                <w:kern w:val="0"/>
                <w:sz w:val="20"/>
                <w:szCs w:val="20"/>
                <w:u w:val="none"/>
                <w:lang w:val="en-US" w:eastAsia="zh-CN" w:bidi="ar"/>
              </w:rPr>
              <w:t>市级预算部门名称</w:t>
            </w:r>
          </w:p>
        </w:tc>
        <w:tc>
          <w:tcPr>
            <w:tcW w:w="13674" w:type="dxa"/>
            <w:gridSpan w:val="9"/>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7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算申请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09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4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26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11701.26</w:t>
            </w:r>
          </w:p>
        </w:tc>
        <w:tc>
          <w:tcPr>
            <w:tcW w:w="14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11701.26</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7514.62</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64.22%</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按收入性质分：</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按支出性质分：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22"/>
                <w:lang w:val="en-US" w:eastAsia="zh-CN" w:bidi="ar"/>
              </w:rPr>
              <w:t>其中：</w:t>
            </w:r>
            <w:r>
              <w:rPr>
                <w:rStyle w:val="23"/>
                <w:rFonts w:eastAsia="宋体"/>
                <w:lang w:val="en-US" w:eastAsia="zh-CN" w:bidi="ar"/>
              </w:rPr>
              <w:t xml:space="preserve">  </w:t>
            </w:r>
            <w:r>
              <w:rPr>
                <w:rStyle w:val="22"/>
                <w:lang w:val="en-US" w:eastAsia="zh-CN" w:bidi="ar"/>
              </w:rPr>
              <w:t>一般公共预算：</w:t>
            </w:r>
            <w:r>
              <w:rPr>
                <w:rStyle w:val="23"/>
                <w:rFonts w:eastAsia="宋体"/>
                <w:lang w:val="en-US" w:eastAsia="zh-CN" w:bidi="ar"/>
              </w:rPr>
              <w:t>8501.26</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其中：基本支出：5701.26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4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政府性基金拨款：</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纳入专户管理的非税收入拨款：3200</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7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明确学校发展定位，服务经济社会发展，提高人才培养质量，办人民满意的学校。　保障教育教学正常运转。　保障学校基本建设。保障学校教职工工资福利待遇。确保本年度招生工作圆满完成，达到省厅下达招生指标。确保教学质量，为社会培养一批优秀毕业生服务教育事业。</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本年度学校招生人数1485人，毕业生就业率98%，科研课题立项44项，教师国培、省培38人次，达到了学校发展预期目标，保障了教育教学正常运转。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17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公务接待支出下降率</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年招生数</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1400人</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1485人</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毕业生就业率</w:t>
            </w:r>
          </w:p>
        </w:tc>
        <w:tc>
          <w:tcPr>
            <w:tcW w:w="2063"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科研课题立项</w:t>
            </w:r>
          </w:p>
        </w:tc>
        <w:tc>
          <w:tcPr>
            <w:tcW w:w="2063"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50项</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44项</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原因：1、资金配套不足，教师积极性降低。2、疫情影响，课题立项数量减少。措施：加大资金投入。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教师国培、省培人次</w:t>
            </w:r>
          </w:p>
        </w:tc>
        <w:tc>
          <w:tcPr>
            <w:tcW w:w="2063"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38人次</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38人次</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办成人民满意的高校</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培养优秀毕业生</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创建绿色文明高校，降低能耗</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师生满意度</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家长满意度</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9165" w:type="dxa"/>
            <w:gridSpan w:val="7"/>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044"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221"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3970"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rPr>
          <w:rFonts w:hint="eastAsia"/>
        </w:rPr>
      </w:pPr>
    </w:p>
    <w:p>
      <w:pPr>
        <w:keepNext w:val="0"/>
        <w:keepLines w:val="0"/>
        <w:widowControl/>
        <w:suppressLineNumbers w:val="0"/>
        <w:jc w:val="both"/>
        <w:textAlignment w:val="center"/>
        <w:rPr>
          <w:rFonts w:hint="eastAsia" w:ascii="宋体" w:hAnsi="宋体" w:eastAsia="宋体" w:cs="宋体"/>
          <w:i w:val="0"/>
          <w:iCs w:val="0"/>
          <w:color w:val="000000"/>
          <w:kern w:val="0"/>
          <w:sz w:val="44"/>
          <w:szCs w:val="44"/>
          <w:u w:val="none"/>
          <w:lang w:val="en-US" w:eastAsia="zh-CN" w:bidi="ar"/>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0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29"/>
        <w:gridCol w:w="3557"/>
        <w:gridCol w:w="3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620" w:type="dxa"/>
            <w:gridSpan w:val="3"/>
            <w:tcBorders>
              <w:top w:val="nil"/>
              <w:left w:val="nil"/>
              <w:bottom w:val="single" w:color="000000" w:sz="12"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3529" w:type="dxa"/>
            <w:vMerge w:val="restart"/>
            <w:tcBorders>
              <w:top w:val="single" w:color="000000" w:sz="1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部门概况</w:t>
            </w:r>
          </w:p>
        </w:tc>
        <w:tc>
          <w:tcPr>
            <w:tcW w:w="3557" w:type="dxa"/>
            <w:tcBorders>
              <w:top w:val="single" w:color="000000" w:sz="1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专项名称</w:t>
            </w:r>
          </w:p>
        </w:tc>
        <w:tc>
          <w:tcPr>
            <w:tcW w:w="3534" w:type="dxa"/>
            <w:tcBorders>
              <w:top w:val="single" w:color="000000" w:sz="1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公费定向师范生免学费配套专项资金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年度预算金额</w:t>
            </w:r>
          </w:p>
        </w:tc>
        <w:tc>
          <w:tcPr>
            <w:tcW w:w="353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284.22</w:t>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项目主管部门</w:t>
            </w:r>
          </w:p>
        </w:tc>
        <w:tc>
          <w:tcPr>
            <w:tcW w:w="353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项目立项目的</w:t>
            </w:r>
          </w:p>
        </w:tc>
        <w:tc>
          <w:tcPr>
            <w:tcW w:w="353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保障公费定向培养计划顺利完成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9" w:hRule="atLeast"/>
        </w:trPr>
        <w:tc>
          <w:tcPr>
            <w:tcW w:w="3529" w:type="dxa"/>
            <w:vMerge w:val="restart"/>
            <w:tcBorders>
              <w:top w:val="single" w:color="000000" w:sz="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绩效情况</w:t>
            </w:r>
          </w:p>
        </w:tc>
        <w:tc>
          <w:tcPr>
            <w:tcW w:w="355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项目支出管理和使用基本情况</w:t>
            </w:r>
          </w:p>
        </w:tc>
        <w:tc>
          <w:tcPr>
            <w:tcW w:w="353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公费定向师范生免学费配套专项资金到位及时，专款专用，无截留、卡扣、占用和挪用等情况，财务制度健全，会计核算规范。资金到位284.22万元，实际支出284.22万元，支出实现率</w:t>
            </w:r>
            <w:r>
              <w:rPr>
                <w:rStyle w:val="24"/>
                <w:rFonts w:eastAsia="宋体"/>
                <w:lang w:val="en-US" w:eastAsia="zh-CN" w:bidi="ar"/>
              </w:rPr>
              <w:t>100%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项目绩效目标完成情况</w:t>
            </w:r>
          </w:p>
        </w:tc>
        <w:tc>
          <w:tcPr>
            <w:tcW w:w="3534" w:type="dxa"/>
            <w:vMerge w:val="restart"/>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完成公费定向师范生培养计划，保障学校教育教学工作正常运转。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529" w:type="dxa"/>
            <w:vMerge w:val="restart"/>
            <w:tcBorders>
              <w:top w:val="single" w:color="000000" w:sz="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存在的问题分析及改进措施</w:t>
            </w:r>
          </w:p>
        </w:tc>
        <w:tc>
          <w:tcPr>
            <w:tcW w:w="355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w:t>
            </w:r>
          </w:p>
        </w:tc>
        <w:tc>
          <w:tcPr>
            <w:tcW w:w="3534" w:type="dxa"/>
            <w:vMerge w:val="restart"/>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4"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c>
          <w:tcPr>
            <w:tcW w:w="353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529" w:type="dxa"/>
            <w:vMerge w:val="continue"/>
            <w:tcBorders>
              <w:top w:val="single" w:color="000000" w:sz="2" w:space="0"/>
              <w:left w:val="single" w:color="000000" w:sz="12" w:space="0"/>
              <w:bottom w:val="single" w:color="000000" w:sz="1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restart"/>
            <w:tcBorders>
              <w:top w:val="single" w:color="000000" w:sz="2" w:space="0"/>
              <w:left w:val="single" w:color="000000" w:sz="2" w:space="0"/>
              <w:bottom w:val="single" w:color="000000" w:sz="1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其他需要说明问题</w:t>
            </w:r>
          </w:p>
        </w:tc>
        <w:tc>
          <w:tcPr>
            <w:tcW w:w="3534" w:type="dxa"/>
            <w:vMerge w:val="restart"/>
            <w:tcBorders>
              <w:top w:val="single" w:color="000000" w:sz="2" w:space="0"/>
              <w:left w:val="single" w:color="000000" w:sz="2"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3529" w:type="dxa"/>
            <w:vMerge w:val="continue"/>
            <w:tcBorders>
              <w:top w:val="single" w:color="000000" w:sz="12" w:space="0"/>
              <w:left w:val="single" w:color="000000" w:sz="12"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12"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12"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3529" w:type="dxa"/>
            <w:vMerge w:val="continue"/>
            <w:tcBorders>
              <w:top w:val="single" w:color="000000" w:sz="12" w:space="0"/>
              <w:left w:val="single" w:color="000000" w:sz="12"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12"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12"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bl>
    <w:p>
      <w:pPr>
        <w:pStyle w:val="2"/>
        <w:rPr>
          <w:rFonts w:hint="eastAsia"/>
        </w:rPr>
      </w:pPr>
    </w:p>
    <w:p>
      <w:pPr>
        <w:rPr>
          <w:rFonts w:hint="eastAsia"/>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5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12"/>
        <w:gridCol w:w="1612"/>
        <w:gridCol w:w="1613"/>
        <w:gridCol w:w="2098"/>
        <w:gridCol w:w="1898"/>
        <w:gridCol w:w="1800"/>
        <w:gridCol w:w="1539"/>
        <w:gridCol w:w="161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1540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1612"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出名称</w:t>
            </w:r>
          </w:p>
        </w:tc>
        <w:tc>
          <w:tcPr>
            <w:tcW w:w="13788"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公费定向师范生免学费配套专项资金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1612"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88"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722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永州市教育局</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4767" w:type="dxa"/>
            <w:gridSpan w:val="3"/>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322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w:t>
            </w:r>
          </w:p>
        </w:tc>
        <w:tc>
          <w:tcPr>
            <w:tcW w:w="189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80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53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616"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8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8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5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　</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284.22</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284.22</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　</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284.22</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284.22</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　</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722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6567"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2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保障公费定向培养计划顺利完成</w:t>
            </w:r>
          </w:p>
        </w:tc>
        <w:tc>
          <w:tcPr>
            <w:tcW w:w="6567"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完成公费定向培养计划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89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p>
        </w:tc>
        <w:tc>
          <w:tcPr>
            <w:tcW w:w="180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w:t>
            </w:r>
          </w:p>
        </w:tc>
        <w:tc>
          <w:tcPr>
            <w:tcW w:w="153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616" w:type="dxa"/>
            <w:tcBorders>
              <w:top w:val="single" w:color="000000" w:sz="8" w:space="0"/>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8"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800"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15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tcBorders>
              <w:top w:val="nil"/>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00"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tcBorders>
              <w:top w:val="nil"/>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公费定向师范生总人数</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1579</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1579</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开始时间</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结束时间</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公费定向师范生标准</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1800元/年</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1800元/年</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减轻定向师范生家庭经济负担</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效果明显</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确保公费定向师范生完成学业</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效果明显</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公费定向师范生家长满意度</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公费定向师范生学生满意度</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0633" w:type="dxa"/>
            <w:gridSpan w:val="6"/>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539"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612"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16"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pStyle w:val="2"/>
        <w:rPr>
          <w:rFonts w:hint="eastAsia"/>
        </w:rPr>
      </w:pPr>
    </w:p>
    <w:p>
      <w:pPr>
        <w:rPr>
          <w:rFonts w:hint="eastAsia"/>
        </w:rPr>
      </w:pPr>
    </w:p>
    <w:p>
      <w:pPr>
        <w:pStyle w:val="2"/>
        <w:rPr>
          <w:rFonts w:hint="eastAsia"/>
        </w:rPr>
      </w:pPr>
    </w:p>
    <w:p>
      <w:pPr>
        <w:rPr>
          <w:rFonts w:hint="eastAsia"/>
        </w:rPr>
      </w:pPr>
    </w:p>
    <w:p>
      <w:pPr>
        <w:pStyle w:val="2"/>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0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8"/>
        <w:gridCol w:w="3518"/>
        <w:gridCol w:w="3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10560" w:type="dxa"/>
            <w:gridSpan w:val="3"/>
            <w:tcBorders>
              <w:top w:val="nil"/>
              <w:left w:val="nil"/>
              <w:bottom w:val="single" w:color="000000" w:sz="12"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3518" w:type="dxa"/>
            <w:vMerge w:val="restart"/>
            <w:tcBorders>
              <w:top w:val="single" w:color="000000" w:sz="1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部门概况</w:t>
            </w:r>
          </w:p>
        </w:tc>
        <w:tc>
          <w:tcPr>
            <w:tcW w:w="3518" w:type="dxa"/>
            <w:tcBorders>
              <w:top w:val="single" w:color="000000" w:sz="1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专项名称</w:t>
            </w:r>
          </w:p>
        </w:tc>
        <w:tc>
          <w:tcPr>
            <w:tcW w:w="3524" w:type="dxa"/>
            <w:tcBorders>
              <w:top w:val="single" w:color="000000" w:sz="1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中职学生免学费专项资金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年度预算金额</w:t>
            </w:r>
          </w:p>
        </w:tc>
        <w:tc>
          <w:tcPr>
            <w:tcW w:w="352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798</w:t>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项目主管部门</w:t>
            </w:r>
          </w:p>
        </w:tc>
        <w:tc>
          <w:tcPr>
            <w:tcW w:w="352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项目立项目的</w:t>
            </w:r>
          </w:p>
        </w:tc>
        <w:tc>
          <w:tcPr>
            <w:tcW w:w="352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加大宣传力度，落实中职学生免学费资助政策。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9" w:hRule="atLeast"/>
        </w:trPr>
        <w:tc>
          <w:tcPr>
            <w:tcW w:w="3518" w:type="dxa"/>
            <w:vMerge w:val="restart"/>
            <w:tcBorders>
              <w:top w:val="single" w:color="000000" w:sz="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绩效情况</w:t>
            </w:r>
          </w:p>
        </w:tc>
        <w:tc>
          <w:tcPr>
            <w:tcW w:w="351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项目支出管理和使用基本情况</w:t>
            </w:r>
          </w:p>
        </w:tc>
        <w:tc>
          <w:tcPr>
            <w:tcW w:w="352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中职学生免学费专项资金到位及时，专款专用，无截留、卡扣、占用和挪用等情况，会计核算规范。资金到位</w:t>
            </w:r>
            <w:r>
              <w:rPr>
                <w:rFonts w:hint="default" w:ascii="Times New Roman" w:hAnsi="Times New Roman" w:eastAsia="宋体" w:cs="Times New Roman"/>
                <w:i w:val="0"/>
                <w:iCs w:val="0"/>
                <w:color w:val="000000"/>
                <w:kern w:val="0"/>
                <w:sz w:val="22"/>
                <w:szCs w:val="22"/>
                <w:u w:val="none"/>
                <w:lang w:val="en-US" w:eastAsia="zh-CN" w:bidi="ar"/>
              </w:rPr>
              <w:t>798</w:t>
            </w:r>
            <w:r>
              <w:rPr>
                <w:rFonts w:hint="eastAsia" w:ascii="宋体" w:hAnsi="宋体" w:eastAsia="宋体" w:cs="宋体"/>
                <w:i w:val="0"/>
                <w:iCs w:val="0"/>
                <w:color w:val="000000"/>
                <w:kern w:val="0"/>
                <w:sz w:val="22"/>
                <w:szCs w:val="22"/>
                <w:u w:val="none"/>
                <w:lang w:val="en-US" w:eastAsia="zh-CN" w:bidi="ar"/>
              </w:rPr>
              <w:t>万元，实际支出</w:t>
            </w:r>
            <w:r>
              <w:rPr>
                <w:rFonts w:hint="default" w:ascii="Times New Roman" w:hAnsi="Times New Roman" w:eastAsia="宋体" w:cs="Times New Roman"/>
                <w:i w:val="0"/>
                <w:iCs w:val="0"/>
                <w:color w:val="000000"/>
                <w:kern w:val="0"/>
                <w:sz w:val="22"/>
                <w:szCs w:val="22"/>
                <w:u w:val="none"/>
                <w:lang w:val="en-US" w:eastAsia="zh-CN" w:bidi="ar"/>
              </w:rPr>
              <w:t>798</w:t>
            </w:r>
            <w:r>
              <w:rPr>
                <w:rFonts w:hint="eastAsia" w:ascii="宋体" w:hAnsi="宋体" w:eastAsia="宋体" w:cs="宋体"/>
                <w:i w:val="0"/>
                <w:iCs w:val="0"/>
                <w:color w:val="000000"/>
                <w:kern w:val="0"/>
                <w:sz w:val="22"/>
                <w:szCs w:val="22"/>
                <w:u w:val="none"/>
                <w:lang w:val="en-US" w:eastAsia="zh-CN" w:bidi="ar"/>
              </w:rPr>
              <w:t>万元，支出实现率</w:t>
            </w:r>
            <w:r>
              <w:rPr>
                <w:rFonts w:hint="default" w:ascii="Times New Roman" w:hAnsi="Times New Roman" w:eastAsia="宋体" w:cs="Times New Roman"/>
                <w:i w:val="0"/>
                <w:iCs w:val="0"/>
                <w:color w:val="000000"/>
                <w:kern w:val="0"/>
                <w:sz w:val="22"/>
                <w:szCs w:val="22"/>
                <w:u w:val="none"/>
                <w:lang w:val="en-US" w:eastAsia="zh-CN" w:bidi="ar"/>
              </w:rPr>
              <w:t>100%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项目绩效目标完成情况</w:t>
            </w:r>
          </w:p>
        </w:tc>
        <w:tc>
          <w:tcPr>
            <w:tcW w:w="3524" w:type="dxa"/>
            <w:vMerge w:val="restart"/>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完成中职学生享受免学费资助政策，不收取中职学生学费，保障学校教育教学工作正常运转。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3518" w:type="dxa"/>
            <w:vMerge w:val="restart"/>
            <w:tcBorders>
              <w:top w:val="single" w:color="000000" w:sz="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存在的问题分析及改进措施</w:t>
            </w:r>
          </w:p>
        </w:tc>
        <w:tc>
          <w:tcPr>
            <w:tcW w:w="3518"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w:t>
            </w:r>
          </w:p>
        </w:tc>
        <w:tc>
          <w:tcPr>
            <w:tcW w:w="3524" w:type="dxa"/>
            <w:vMerge w:val="restart"/>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6"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c>
          <w:tcPr>
            <w:tcW w:w="352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3518" w:type="dxa"/>
            <w:vMerge w:val="continue"/>
            <w:tcBorders>
              <w:top w:val="single" w:color="000000" w:sz="2" w:space="0"/>
              <w:left w:val="single" w:color="000000" w:sz="12" w:space="0"/>
              <w:bottom w:val="single" w:color="000000" w:sz="1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restart"/>
            <w:tcBorders>
              <w:top w:val="single" w:color="000000" w:sz="2" w:space="0"/>
              <w:left w:val="single" w:color="000000" w:sz="2" w:space="0"/>
              <w:bottom w:val="single" w:color="000000" w:sz="1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其他需要说明问题</w:t>
            </w:r>
          </w:p>
        </w:tc>
        <w:tc>
          <w:tcPr>
            <w:tcW w:w="3524" w:type="dxa"/>
            <w:vMerge w:val="restart"/>
            <w:tcBorders>
              <w:top w:val="single" w:color="000000" w:sz="2" w:space="0"/>
              <w:left w:val="single" w:color="000000" w:sz="2"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3518" w:type="dxa"/>
            <w:vMerge w:val="continue"/>
            <w:tcBorders>
              <w:top w:val="single" w:color="000000" w:sz="12" w:space="0"/>
              <w:left w:val="single" w:color="000000" w:sz="12"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12"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12"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3518" w:type="dxa"/>
            <w:vMerge w:val="continue"/>
            <w:tcBorders>
              <w:top w:val="single" w:color="000000" w:sz="12" w:space="0"/>
              <w:left w:val="single" w:color="000000" w:sz="12"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12"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12"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bl>
    <w:p>
      <w:pPr>
        <w:rPr>
          <w:rFonts w:hint="eastAsia"/>
        </w:rPr>
      </w:pPr>
    </w:p>
    <w:p>
      <w:pPr>
        <w:pStyle w:val="2"/>
        <w:rPr>
          <w:rFonts w:hint="eastAsia"/>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5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5"/>
        <w:gridCol w:w="1425"/>
        <w:gridCol w:w="1426"/>
        <w:gridCol w:w="1874"/>
        <w:gridCol w:w="1943"/>
        <w:gridCol w:w="1874"/>
        <w:gridCol w:w="1874"/>
        <w:gridCol w:w="1713"/>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534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5"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出名称</w:t>
            </w:r>
          </w:p>
        </w:tc>
        <w:tc>
          <w:tcPr>
            <w:tcW w:w="13915"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中职学生免学费专项资金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5"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15"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666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永州市教育局</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5373" w:type="dxa"/>
            <w:gridSpan w:val="3"/>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85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w:t>
            </w:r>
          </w:p>
        </w:tc>
        <w:tc>
          <w:tcPr>
            <w:tcW w:w="1943"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874"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8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7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786"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9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8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8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6"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　</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　</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　</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666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7247"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6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加大宣传力度，落实中职学生免学费资助政策。</w:t>
            </w:r>
          </w:p>
        </w:tc>
        <w:tc>
          <w:tcPr>
            <w:tcW w:w="7247"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确保中职学生享受免学费资助政策，不收取中职学生学费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1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943"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p>
        </w:tc>
        <w:tc>
          <w:tcPr>
            <w:tcW w:w="1874"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w:t>
            </w:r>
          </w:p>
        </w:tc>
        <w:tc>
          <w:tcPr>
            <w:tcW w:w="18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7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786" w:type="dxa"/>
            <w:tcBorders>
              <w:top w:val="single" w:color="000000" w:sz="8" w:space="0"/>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3"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874"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18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6" w:type="dxa"/>
            <w:tcBorders>
              <w:top w:val="nil"/>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6" w:type="dxa"/>
            <w:tcBorders>
              <w:top w:val="nil"/>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免学费总人数</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3325</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3325</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开始时间</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结束时间</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免学费标准</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2400元/年</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2400元/年</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减轻贫困学生家庭经济负担</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效果明显</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确保贫困家庭子女完成学业</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效果明显</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受助学生家长满意度</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受助学生满意度</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967" w:type="dxa"/>
            <w:gridSpan w:val="6"/>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874"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713"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86"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0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27"/>
        <w:gridCol w:w="3427"/>
        <w:gridCol w:w="3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052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trPr>
        <w:tc>
          <w:tcPr>
            <w:tcW w:w="3427"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部门概况</w:t>
            </w:r>
          </w:p>
        </w:tc>
        <w:tc>
          <w:tcPr>
            <w:tcW w:w="3427"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专项名称</w:t>
            </w:r>
          </w:p>
        </w:tc>
        <w:tc>
          <w:tcPr>
            <w:tcW w:w="3666" w:type="dxa"/>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改善中职办学条件专项资金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trPr>
        <w:tc>
          <w:tcPr>
            <w:tcW w:w="3427"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年度预算金额</w:t>
            </w:r>
          </w:p>
        </w:tc>
        <w:tc>
          <w:tcPr>
            <w:tcW w:w="366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Times New Roman" w:hAnsi="Times New Roman" w:eastAsia="宋体" w:cs="Times New Roman"/>
                <w:i w:val="0"/>
                <w:iCs w:val="0"/>
                <w:color w:val="000000"/>
                <w:kern w:val="0"/>
                <w:sz w:val="22"/>
                <w:szCs w:val="22"/>
                <w:u w:val="none"/>
                <w:lang w:val="en-US" w:eastAsia="zh-CN" w:bidi="ar"/>
              </w:rPr>
              <w:t>38.39</w:t>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trPr>
        <w:tc>
          <w:tcPr>
            <w:tcW w:w="3427"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项目主管部门</w:t>
            </w:r>
          </w:p>
        </w:tc>
        <w:tc>
          <w:tcPr>
            <w:tcW w:w="366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trPr>
        <w:tc>
          <w:tcPr>
            <w:tcW w:w="3427"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项目立项目的</w:t>
            </w:r>
          </w:p>
        </w:tc>
        <w:tc>
          <w:tcPr>
            <w:tcW w:w="366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改善办学条件，完善教学硬件、软件设备，提升办学质量。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7" w:hRule="atLeast"/>
        </w:trPr>
        <w:tc>
          <w:tcPr>
            <w:tcW w:w="3427"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绩效情况</w:t>
            </w:r>
          </w:p>
        </w:tc>
        <w:tc>
          <w:tcPr>
            <w:tcW w:w="34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项目支出管理和使用基本情况</w:t>
            </w:r>
          </w:p>
        </w:tc>
        <w:tc>
          <w:tcPr>
            <w:tcW w:w="366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改善中职办学条件专项资金到位及时，专款专用，无截留、卡扣、占用和挪用等情况，财务制度健全，会计核算规范。资金到位238.39万元，实际支出238.39万元，支出实现率</w:t>
            </w:r>
            <w:r>
              <w:rPr>
                <w:rFonts w:hint="default" w:ascii="Times New Roman" w:hAnsi="Times New Roman" w:eastAsia="宋体" w:cs="Times New Roman"/>
                <w:i w:val="0"/>
                <w:iCs w:val="0"/>
                <w:color w:val="000000"/>
                <w:kern w:val="0"/>
                <w:sz w:val="22"/>
                <w:szCs w:val="22"/>
                <w:u w:val="none"/>
                <w:lang w:val="en-US" w:eastAsia="zh-CN" w:bidi="ar"/>
              </w:rPr>
              <w:t>100%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2"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项目绩效目标完成情况</w:t>
            </w:r>
          </w:p>
        </w:tc>
        <w:tc>
          <w:tcPr>
            <w:tcW w:w="3666" w:type="dxa"/>
            <w:vMerge w:val="restart"/>
            <w:tcBorders>
              <w:top w:val="single" w:color="000000" w:sz="8" w:space="0"/>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完成学校日常维修、维护及教育教学设施设备的购置及更换。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8" w:space="0"/>
              <w:left w:val="single" w:color="000000" w:sz="8" w:space="0"/>
              <w:bottom w:val="nil"/>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3427"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存在的问题分析及改进措施</w:t>
            </w:r>
          </w:p>
        </w:tc>
        <w:tc>
          <w:tcPr>
            <w:tcW w:w="34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w:t>
            </w:r>
          </w:p>
        </w:tc>
        <w:tc>
          <w:tcPr>
            <w:tcW w:w="3666"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7"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c>
          <w:tcPr>
            <w:tcW w:w="366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restart"/>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其他需要说明问题</w:t>
            </w:r>
          </w:p>
        </w:tc>
        <w:tc>
          <w:tcPr>
            <w:tcW w:w="3666" w:type="dxa"/>
            <w:vMerge w:val="restart"/>
            <w:tcBorders>
              <w:top w:val="single" w:color="000000" w:sz="8"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continue"/>
            <w:tcBorders>
              <w:top w:val="single" w:color="000000" w:sz="8"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8"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7"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continue"/>
            <w:tcBorders>
              <w:top w:val="single" w:color="000000" w:sz="8"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8"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bl>
    <w:p>
      <w:pPr>
        <w:pStyle w:val="2"/>
        <w:rPr>
          <w:rFonts w:hint="eastAsia"/>
        </w:rPr>
      </w:pPr>
    </w:p>
    <w:p>
      <w:pPr>
        <w:rPr>
          <w:rFonts w:hint="eastAsia"/>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53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6"/>
        <w:gridCol w:w="1516"/>
        <w:gridCol w:w="1524"/>
        <w:gridCol w:w="1804"/>
        <w:gridCol w:w="2228"/>
        <w:gridCol w:w="1930"/>
        <w:gridCol w:w="1516"/>
        <w:gridCol w:w="1516"/>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536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1626"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出名称</w:t>
            </w:r>
          </w:p>
        </w:tc>
        <w:tc>
          <w:tcPr>
            <w:tcW w:w="13734"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改善中职办学条件专项资金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1626"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34"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707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永州市教育局</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4732" w:type="dxa"/>
            <w:gridSpan w:val="3"/>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304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w:t>
            </w:r>
          </w:p>
        </w:tc>
        <w:tc>
          <w:tcPr>
            <w:tcW w:w="222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93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700"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22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9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0"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　</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238.39</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238.39</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　</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238.39</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238.39</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　</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707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6662"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7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改善办学条件，完善教学硬件、软件设施设备，提升办学质量</w:t>
            </w:r>
          </w:p>
        </w:tc>
        <w:tc>
          <w:tcPr>
            <w:tcW w:w="6662"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保障学校日常维修、维护及教育教学设施设备购置及更换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0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22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p>
        </w:tc>
        <w:tc>
          <w:tcPr>
            <w:tcW w:w="193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w:t>
            </w: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700" w:type="dxa"/>
            <w:tcBorders>
              <w:top w:val="single" w:color="000000" w:sz="8" w:space="0"/>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8"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930"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0" w:type="dxa"/>
            <w:tcBorders>
              <w:top w:val="nil"/>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0" w:type="dxa"/>
            <w:tcBorders>
              <w:top w:val="nil"/>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教学设施设备</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1批</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1批</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网络教学平台</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中国知网数据库许可使用</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2年</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2年</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心理健康教育中心改造</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1间</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1间</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验收合格率</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开始时间</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结束时间</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教学基础设施完善程度</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进一步完善</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进一步完善</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师生满意度</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家长满意度</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0628" w:type="dxa"/>
            <w:gridSpan w:val="6"/>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516"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516"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00"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rPr>
          <w:rFonts w:hint="eastAsia"/>
        </w:rPr>
      </w:pPr>
    </w:p>
    <w:p>
      <w:pPr>
        <w:pStyle w:val="2"/>
        <w:rPr>
          <w:rFonts w:hint="eastAsia"/>
        </w:rPr>
      </w:pPr>
    </w:p>
    <w:p>
      <w:pPr>
        <w:rPr>
          <w:rFonts w:hint="eastAsia"/>
        </w:rPr>
      </w:pPr>
    </w:p>
    <w:p>
      <w:pPr>
        <w:pStyle w:val="2"/>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W w:w="10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36"/>
        <w:gridCol w:w="3436"/>
        <w:gridCol w:w="3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trPr>
        <w:tc>
          <w:tcPr>
            <w:tcW w:w="10480" w:type="dxa"/>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3" w:hRule="atLeast"/>
        </w:trPr>
        <w:tc>
          <w:tcPr>
            <w:tcW w:w="3436" w:type="dxa"/>
            <w:vMerge w:val="restart"/>
            <w:tcBorders>
              <w:top w:val="single" w:color="000000" w:sz="12" w:space="0"/>
              <w:left w:val="single" w:color="000000" w:sz="12"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部门概况</w:t>
            </w:r>
          </w:p>
        </w:tc>
        <w:tc>
          <w:tcPr>
            <w:tcW w:w="3436" w:type="dxa"/>
            <w:tcBorders>
              <w:top w:val="single" w:color="000000" w:sz="12"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专项名称</w:t>
            </w:r>
          </w:p>
        </w:tc>
        <w:tc>
          <w:tcPr>
            <w:tcW w:w="3608" w:type="dxa"/>
            <w:tcBorders>
              <w:top w:val="single" w:color="000000" w:sz="12"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图书馆建设专项资金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3" w:hRule="atLeast"/>
        </w:trPr>
        <w:tc>
          <w:tcPr>
            <w:tcW w:w="3436" w:type="dxa"/>
            <w:vMerge w:val="continue"/>
            <w:tcBorders>
              <w:top w:val="single" w:color="000000" w:sz="12"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年度预算金额</w:t>
            </w:r>
          </w:p>
        </w:tc>
        <w:tc>
          <w:tcPr>
            <w:tcW w:w="3608" w:type="dxa"/>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108.58</w:t>
            </w:r>
            <w:r>
              <w:rPr>
                <w:rFonts w:hint="eastAsia" w:ascii="宋体" w:hAnsi="宋体" w:eastAsia="宋体" w:cs="宋体"/>
                <w:i w:val="0"/>
                <w:iCs w:val="0"/>
                <w:color w:val="000000"/>
                <w:kern w:val="0"/>
                <w:sz w:val="22"/>
                <w:szCs w:val="22"/>
                <w:u w:val="none"/>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3" w:hRule="atLeast"/>
        </w:trPr>
        <w:tc>
          <w:tcPr>
            <w:tcW w:w="3436" w:type="dxa"/>
            <w:vMerge w:val="continue"/>
            <w:tcBorders>
              <w:top w:val="single" w:color="000000" w:sz="12"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项目主管部门</w:t>
            </w:r>
          </w:p>
        </w:tc>
        <w:tc>
          <w:tcPr>
            <w:tcW w:w="3608" w:type="dxa"/>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永州市教育局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3" w:hRule="atLeast"/>
        </w:trPr>
        <w:tc>
          <w:tcPr>
            <w:tcW w:w="3436" w:type="dxa"/>
            <w:vMerge w:val="continue"/>
            <w:tcBorders>
              <w:top w:val="single" w:color="000000" w:sz="12"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项目立项目的</w:t>
            </w:r>
          </w:p>
        </w:tc>
        <w:tc>
          <w:tcPr>
            <w:tcW w:w="3608" w:type="dxa"/>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发挥图书馆的育人作用，满足学生的文化需求。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3436" w:type="dxa"/>
            <w:vMerge w:val="restart"/>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绩效情况</w:t>
            </w:r>
          </w:p>
        </w:tc>
        <w:tc>
          <w:tcPr>
            <w:tcW w:w="34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项目支出管理和使用基本情况</w:t>
            </w:r>
          </w:p>
        </w:tc>
        <w:tc>
          <w:tcPr>
            <w:tcW w:w="3608" w:type="dxa"/>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图书馆建设专项资金到位及时，专款专用，无截留、卡扣、占用和挪用等情况，财务制度健全，会计核算规范。资金到位108.58万元，实际支出108.58万元，支出实现率</w:t>
            </w: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100%</w:t>
            </w: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项目绩效目标完成情况</w:t>
            </w:r>
          </w:p>
        </w:tc>
        <w:tc>
          <w:tcPr>
            <w:tcW w:w="3608" w:type="dxa"/>
            <w:vMerge w:val="restart"/>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完成图书采购，阅览桌椅、书架采购，期刊建设设备采购、电子阅览室改造。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8" w:space="0"/>
              <w:right w:val="single" w:color="000000" w:sz="12"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4"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8" w:space="0"/>
              <w:right w:val="single" w:color="000000" w:sz="12"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6" w:type="dxa"/>
            <w:vMerge w:val="restart"/>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存在的问题分析及改进措施</w:t>
            </w:r>
          </w:p>
        </w:tc>
        <w:tc>
          <w:tcPr>
            <w:tcW w:w="3436"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存在的问题</w:t>
            </w:r>
          </w:p>
        </w:tc>
        <w:tc>
          <w:tcPr>
            <w:tcW w:w="3608" w:type="dxa"/>
            <w:vMerge w:val="restart"/>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8" w:space="0"/>
              <w:right w:val="single" w:color="000000" w:sz="12"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6"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8" w:space="0"/>
              <w:right w:val="single" w:color="000000" w:sz="12"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72"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改进措施</w:t>
            </w:r>
          </w:p>
        </w:tc>
        <w:tc>
          <w:tcPr>
            <w:tcW w:w="3608" w:type="dxa"/>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vMerge w:val="restart"/>
            <w:tcBorders>
              <w:top w:val="single" w:color="000000" w:sz="8" w:space="0"/>
              <w:left w:val="single" w:color="000000" w:sz="8" w:space="0"/>
              <w:bottom w:val="single" w:color="000000" w:sz="12"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其他需要说明问题</w:t>
            </w:r>
          </w:p>
        </w:tc>
        <w:tc>
          <w:tcPr>
            <w:tcW w:w="3608" w:type="dxa"/>
            <w:vMerge w:val="restart"/>
            <w:tcBorders>
              <w:top w:val="single" w:color="000000" w:sz="8" w:space="0"/>
              <w:left w:val="single" w:color="000000" w:sz="8" w:space="0"/>
              <w:bottom w:val="single" w:color="000000" w:sz="12" w:space="0"/>
              <w:right w:val="single" w:color="000000" w:sz="12" w:space="0"/>
            </w:tcBorders>
            <w:shd w:val="clear"/>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3"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12"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12" w:space="0"/>
              <w:right w:val="single" w:color="000000" w:sz="12" w:space="0"/>
            </w:tcBorders>
            <w:shd w:val="clear"/>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67"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12"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12" w:space="0"/>
              <w:right w:val="single" w:color="000000" w:sz="12" w:space="0"/>
            </w:tcBorders>
            <w:shd w:val="clear"/>
            <w:vAlign w:val="center"/>
          </w:tcPr>
          <w:p>
            <w:pPr>
              <w:jc w:val="both"/>
              <w:rPr>
                <w:rFonts w:hint="default" w:ascii="Times New Roman" w:hAnsi="Times New Roman" w:eastAsia="宋体" w:cs="Times New Roman"/>
                <w:i w:val="0"/>
                <w:iCs w:val="0"/>
                <w:color w:val="000000"/>
                <w:sz w:val="22"/>
                <w:szCs w:val="22"/>
                <w:u w:val="none"/>
              </w:rPr>
            </w:pPr>
          </w:p>
        </w:tc>
      </w:tr>
    </w:tbl>
    <w:p>
      <w:pPr>
        <w:rPr>
          <w:rFonts w:hint="eastAsia"/>
        </w:rPr>
      </w:pPr>
    </w:p>
    <w:p>
      <w:pPr>
        <w:pStyle w:val="2"/>
        <w:rPr>
          <w:rFonts w:hint="eastAsia"/>
        </w:rPr>
      </w:pPr>
    </w:p>
    <w:p>
      <w:pPr>
        <w:rPr>
          <w:rFonts w:hint="eastAsia"/>
        </w:rPr>
        <w:sectPr>
          <w:pgSz w:w="11906" w:h="16838"/>
          <w:pgMar w:top="720" w:right="720" w:bottom="720" w:left="720" w:header="851" w:footer="992" w:gutter="0"/>
          <w:pgBorders w:offsetFrom="page">
            <w:top w:val="none" w:sz="0" w:space="0"/>
            <w:left w:val="none" w:sz="0" w:space="0"/>
            <w:bottom w:val="none" w:sz="0" w:space="0"/>
            <w:right w:val="none" w:sz="0" w:space="0"/>
          </w:pgBorders>
          <w:cols w:space="425" w:num="1"/>
          <w:docGrid w:type="linesAndChars" w:linePitch="312" w:charSpace="0"/>
        </w:sectPr>
      </w:pPr>
    </w:p>
    <w:tbl>
      <w:tblPr>
        <w:tblW w:w="15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622"/>
        <w:gridCol w:w="1622"/>
        <w:gridCol w:w="1594"/>
        <w:gridCol w:w="2043"/>
        <w:gridCol w:w="1916"/>
        <w:gridCol w:w="1809"/>
        <w:gridCol w:w="1622"/>
        <w:gridCol w:w="1622"/>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3" w:hRule="atLeast"/>
        </w:trPr>
        <w:tc>
          <w:tcPr>
            <w:tcW w:w="15500"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bdr w:val="none" w:color="auto" w:sz="0" w:space="0"/>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8" w:hRule="atLeast"/>
        </w:trPr>
        <w:tc>
          <w:tcPr>
            <w:tcW w:w="1622" w:type="dxa"/>
            <w:vMerge w:val="restart"/>
            <w:tcBorders>
              <w:top w:val="single" w:color="000000" w:sz="12" w:space="0"/>
              <w:left w:val="single" w:color="000000" w:sz="12"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出名称</w:t>
            </w:r>
          </w:p>
        </w:tc>
        <w:tc>
          <w:tcPr>
            <w:tcW w:w="13878" w:type="dxa"/>
            <w:gridSpan w:val="8"/>
            <w:vMerge w:val="restart"/>
            <w:tcBorders>
              <w:top w:val="single" w:color="000000" w:sz="12"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图书馆建设专项资金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3" w:hRule="atLeast"/>
        </w:trPr>
        <w:tc>
          <w:tcPr>
            <w:tcW w:w="1622" w:type="dxa"/>
            <w:vMerge w:val="continue"/>
            <w:tcBorders>
              <w:top w:val="single" w:color="000000" w:sz="12"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3878" w:type="dxa"/>
            <w:gridSpan w:val="8"/>
            <w:vMerge w:val="continue"/>
            <w:tcBorders>
              <w:top w:val="single" w:color="000000" w:sz="12" w:space="0"/>
              <w:left w:val="single" w:color="000000" w:sz="8" w:space="0"/>
              <w:bottom w:val="single" w:color="000000" w:sz="8" w:space="0"/>
              <w:right w:val="single" w:color="000000" w:sz="12"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7175" w:type="dxa"/>
            <w:gridSpan w:val="4"/>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永州市教育局</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4894" w:type="dxa"/>
            <w:gridSpan w:val="3"/>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永州师范高等专科学校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restart"/>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3216" w:type="dxa"/>
            <w:gridSpan w:val="2"/>
            <w:vMerge w:val="restart"/>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w:t>
            </w:r>
          </w:p>
        </w:tc>
        <w:tc>
          <w:tcPr>
            <w:tcW w:w="1916" w:type="dxa"/>
            <w:tcBorders>
              <w:top w:val="single" w:color="000000" w:sz="8" w:space="0"/>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w:t>
            </w:r>
          </w:p>
        </w:tc>
        <w:tc>
          <w:tcPr>
            <w:tcW w:w="1809" w:type="dxa"/>
            <w:tcBorders>
              <w:top w:val="single" w:color="000000" w:sz="8" w:space="0"/>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w:t>
            </w:r>
          </w:p>
        </w:tc>
        <w:tc>
          <w:tcPr>
            <w:tcW w:w="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w:t>
            </w:r>
          </w:p>
        </w:tc>
        <w:tc>
          <w:tcPr>
            <w:tcW w:w="1650" w:type="dxa"/>
            <w:vMerge w:val="restart"/>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216" w:type="dxa"/>
            <w:gridSpan w:val="2"/>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04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预算数</w:t>
            </w:r>
          </w:p>
        </w:tc>
        <w:tc>
          <w:tcPr>
            <w:tcW w:w="1916"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预算数</w:t>
            </w:r>
          </w:p>
        </w:tc>
        <w:tc>
          <w:tcPr>
            <w:tcW w:w="180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执行数</w:t>
            </w: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single" w:color="000000" w:sz="8" w:space="0"/>
              <w:left w:val="single" w:color="000000" w:sz="8" w:space="0"/>
              <w:bottom w:val="single" w:color="000000" w:sz="8" w:space="0"/>
              <w:right w:val="single" w:color="000000" w:sz="12"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21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　</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108.58</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108.58</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21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其中：当年财政拨款　</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21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上年结转资金　</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321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其他资金</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108.58</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108.58</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restart"/>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w:t>
            </w:r>
          </w:p>
        </w:tc>
        <w:tc>
          <w:tcPr>
            <w:tcW w:w="7175" w:type="dxa"/>
            <w:gridSpan w:val="4"/>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预期目标</w:t>
            </w:r>
          </w:p>
        </w:tc>
        <w:tc>
          <w:tcPr>
            <w:tcW w:w="6703" w:type="dxa"/>
            <w:gridSpan w:val="4"/>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4"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175" w:type="dxa"/>
            <w:gridSpan w:val="4"/>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发挥图书馆的育人作用，满足学生的文化需求。</w:t>
            </w:r>
          </w:p>
        </w:tc>
        <w:tc>
          <w:tcPr>
            <w:tcW w:w="6703" w:type="dxa"/>
            <w:gridSpan w:val="4"/>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完成图书采购，阅览桌椅、书架采购，期刊建设设备采购、电子阅览室改造。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restart"/>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一级指标</w:t>
            </w:r>
          </w:p>
        </w:tc>
        <w:tc>
          <w:tcPr>
            <w:tcW w:w="159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043"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916" w:type="dxa"/>
            <w:tcBorders>
              <w:top w:val="single" w:color="000000" w:sz="8" w:space="0"/>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w:t>
            </w:r>
          </w:p>
        </w:tc>
        <w:tc>
          <w:tcPr>
            <w:tcW w:w="1809" w:type="dxa"/>
            <w:tcBorders>
              <w:top w:val="single" w:color="000000" w:sz="8" w:space="0"/>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w:t>
            </w:r>
          </w:p>
        </w:tc>
        <w:tc>
          <w:tcPr>
            <w:tcW w:w="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c>
          <w:tcPr>
            <w:tcW w:w="1650" w:type="dxa"/>
            <w:tcBorders>
              <w:top w:val="single" w:color="000000" w:sz="8" w:space="0"/>
              <w:left w:val="single" w:color="000000" w:sz="8" w:space="0"/>
              <w:bottom w:val="nil"/>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916" w:type="dxa"/>
            <w:tcBorders>
              <w:top w:val="nil"/>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1809" w:type="dxa"/>
            <w:tcBorders>
              <w:top w:val="nil"/>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完成值</w:t>
            </w: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50" w:type="dxa"/>
            <w:tcBorders>
              <w:top w:val="nil"/>
              <w:left w:val="single" w:color="000000" w:sz="8" w:space="0"/>
              <w:bottom w:val="nil"/>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50" w:type="dxa"/>
            <w:tcBorders>
              <w:top w:val="nil"/>
              <w:left w:val="single" w:color="000000" w:sz="8" w:space="0"/>
              <w:bottom w:val="single" w:color="000000" w:sz="8"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产出指标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(50分)</w:t>
            </w:r>
          </w:p>
        </w:tc>
        <w:tc>
          <w:tcPr>
            <w:tcW w:w="159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图书馆期刊室建设</w:t>
            </w: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1间</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1间</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4"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图书馆电子阅览室改造</w:t>
            </w: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1间</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1间</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图书采购</w:t>
            </w: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6990册</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6990册</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阅览桌椅、书架</w:t>
            </w: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一批</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一批</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开始时间</w:t>
            </w: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2021年1月1日</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2021年1月1日</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结束时间</w:t>
            </w: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2021年12月31日</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2021年12月31日</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6"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6"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6"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（30分）</w:t>
            </w:r>
          </w:p>
        </w:tc>
        <w:tc>
          <w:tcPr>
            <w:tcW w:w="159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益指标</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4"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益指标</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教学基础设施完善程度</w:t>
            </w: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进一步完善</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进一步完善</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办成人民满意的高校</w:t>
            </w: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益指标</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（10分）</w:t>
            </w:r>
          </w:p>
        </w:tc>
        <w:tc>
          <w:tcPr>
            <w:tcW w:w="159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服务对象满意度指标</w:t>
            </w: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受助学生家长满意度</w:t>
            </w: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受助学生满意度</w:t>
            </w: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4" w:hRule="atLeast"/>
        </w:trPr>
        <w:tc>
          <w:tcPr>
            <w:tcW w:w="10606" w:type="dxa"/>
            <w:gridSpan w:val="6"/>
            <w:tcBorders>
              <w:top w:val="single" w:color="000000" w:sz="8" w:space="0"/>
              <w:left w:val="single" w:color="000000" w:sz="12" w:space="0"/>
              <w:bottom w:val="single" w:color="000000" w:sz="12"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总分</w:t>
            </w:r>
          </w:p>
        </w:tc>
        <w:tc>
          <w:tcPr>
            <w:tcW w:w="1622" w:type="dxa"/>
            <w:tcBorders>
              <w:top w:val="single" w:color="000000" w:sz="8" w:space="0"/>
              <w:left w:val="single" w:color="000000" w:sz="8" w:space="0"/>
              <w:bottom w:val="single" w:color="000000" w:sz="12"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100</w:t>
            </w:r>
          </w:p>
        </w:tc>
        <w:tc>
          <w:tcPr>
            <w:tcW w:w="1622" w:type="dxa"/>
            <w:tcBorders>
              <w:top w:val="single" w:color="000000" w:sz="8" w:space="0"/>
              <w:left w:val="single" w:color="000000" w:sz="8" w:space="0"/>
              <w:bottom w:val="single" w:color="000000" w:sz="12"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50" w:type="dxa"/>
            <w:tcBorders>
              <w:top w:val="single" w:color="000000" w:sz="8" w:space="0"/>
              <w:left w:val="single" w:color="000000" w:sz="8" w:space="0"/>
              <w:bottom w:val="single" w:color="000000" w:sz="12" w:space="0"/>
              <w:right w:val="single" w:color="000000" w:sz="12" w:space="0"/>
            </w:tcBorders>
            <w:shd w:val="clear"/>
            <w:vAlign w:val="center"/>
          </w:tcPr>
          <w:p>
            <w:pPr>
              <w:jc w:val="left"/>
              <w:rPr>
                <w:rFonts w:hint="eastAsia" w:ascii="宋体" w:hAnsi="宋体" w:eastAsia="宋体" w:cs="宋体"/>
                <w:i w:val="0"/>
                <w:iCs w:val="0"/>
                <w:color w:val="000000"/>
                <w:sz w:val="20"/>
                <w:szCs w:val="20"/>
                <w:u w:val="none"/>
              </w:rPr>
            </w:pPr>
          </w:p>
        </w:tc>
      </w:tr>
    </w:tbl>
    <w:p>
      <w:pPr>
        <w:pStyle w:val="2"/>
        <w:rPr>
          <w:rFonts w:hint="eastAsia"/>
        </w:rPr>
      </w:pPr>
    </w:p>
    <w:sectPr>
      <w:pgSz w:w="16838" w:h="11906" w:orient="landscape"/>
      <w:pgMar w:top="720" w:right="720" w:bottom="720" w:left="720" w:header="851" w:footer="992" w:gutter="0"/>
      <w:pgBorders w:offsetFrom="page">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永中宋体">
    <w:altName w:val="宋体"/>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70B2D"/>
    <w:multiLevelType w:val="singleLevel"/>
    <w:tmpl w:val="8EC70B2D"/>
    <w:lvl w:ilvl="0" w:tentative="0">
      <w:start w:val="1"/>
      <w:numFmt w:val="chineseCounting"/>
      <w:suff w:val="nothing"/>
      <w:lvlText w:val="%1、"/>
      <w:lvlJc w:val="left"/>
      <w:rPr>
        <w:rFonts w:hint="eastAsia"/>
      </w:rPr>
    </w:lvl>
  </w:abstractNum>
  <w:abstractNum w:abstractNumId="1">
    <w:nsid w:val="9D7FEDA3"/>
    <w:multiLevelType w:val="singleLevel"/>
    <w:tmpl w:val="9D7FEDA3"/>
    <w:lvl w:ilvl="0" w:tentative="0">
      <w:start w:val="9"/>
      <w:numFmt w:val="chineseCounting"/>
      <w:suff w:val="nothing"/>
      <w:lvlText w:val="%1、"/>
      <w:lvlJc w:val="left"/>
      <w:rPr>
        <w:rFonts w:hint="eastAsia"/>
      </w:rPr>
    </w:lvl>
  </w:abstractNum>
  <w:abstractNum w:abstractNumId="2">
    <w:nsid w:val="B9746D94"/>
    <w:multiLevelType w:val="singleLevel"/>
    <w:tmpl w:val="B9746D94"/>
    <w:lvl w:ilvl="0" w:tentative="0">
      <w:start w:val="1"/>
      <w:numFmt w:val="chineseCounting"/>
      <w:suff w:val="nothing"/>
      <w:lvlText w:val="%1、"/>
      <w:lvlJc w:val="left"/>
      <w:rPr>
        <w:rFonts w:hint="eastAsia"/>
      </w:rPr>
    </w:lvl>
  </w:abstractNum>
  <w:abstractNum w:abstractNumId="3">
    <w:nsid w:val="D9E3DA24"/>
    <w:multiLevelType w:val="singleLevel"/>
    <w:tmpl w:val="D9E3DA24"/>
    <w:lvl w:ilvl="0" w:tentative="0">
      <w:start w:val="1"/>
      <w:numFmt w:val="chineseCounting"/>
      <w:suff w:val="nothing"/>
      <w:lvlText w:val="%1、"/>
      <w:lvlJc w:val="left"/>
      <w:rPr>
        <w:rFonts w:hint="eastAsia"/>
      </w:rPr>
    </w:lvl>
  </w:abstractNum>
  <w:abstractNum w:abstractNumId="4">
    <w:nsid w:val="FF45B78B"/>
    <w:multiLevelType w:val="singleLevel"/>
    <w:tmpl w:val="FF45B78B"/>
    <w:lvl w:ilvl="0" w:tentative="0">
      <w:start w:val="4"/>
      <w:numFmt w:val="decimal"/>
      <w:suff w:val="nothing"/>
      <w:lvlText w:val="%1、"/>
      <w:lvlJc w:val="left"/>
    </w:lvl>
  </w:abstractNum>
  <w:abstractNum w:abstractNumId="5">
    <w:nsid w:val="586DF077"/>
    <w:multiLevelType w:val="singleLevel"/>
    <w:tmpl w:val="586DF077"/>
    <w:lvl w:ilvl="0" w:tentative="0">
      <w:start w:val="1"/>
      <w:numFmt w:val="chineseCounting"/>
      <w:suff w:val="nothing"/>
      <w:lvlText w:val="（%1）"/>
      <w:lvlJc w:val="left"/>
    </w:lvl>
  </w:abstractNum>
  <w:abstractNum w:abstractNumId="6">
    <w:nsid w:val="64118BD3"/>
    <w:multiLevelType w:val="singleLevel"/>
    <w:tmpl w:val="64118BD3"/>
    <w:lvl w:ilvl="0" w:tentative="0">
      <w:start w:val="2"/>
      <w:numFmt w:val="decimal"/>
      <w:suff w:val="nothing"/>
      <w:lvlText w:val="（%1）"/>
      <w:lvlJc w:val="left"/>
      <w:pPr>
        <w:ind w:left="-10"/>
      </w:pPr>
    </w:lvl>
  </w:abstractNum>
  <w:abstractNum w:abstractNumId="7">
    <w:nsid w:val="792BCF19"/>
    <w:multiLevelType w:val="singleLevel"/>
    <w:tmpl w:val="792BCF19"/>
    <w:lvl w:ilvl="0" w:tentative="0">
      <w:start w:val="7"/>
      <w:numFmt w:val="chineseCounting"/>
      <w:suff w:val="nothing"/>
      <w:lvlText w:val="%1、"/>
      <w:lvlJc w:val="left"/>
      <w:rPr>
        <w:rFonts w:hint="eastAsia"/>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jVjOTJlOTUzYzZjYWFiN2EzMDliMmVmNzk1NDc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93FDC"/>
    <w:rsid w:val="002D3658"/>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641FB"/>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30318"/>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C559A0"/>
    <w:rsid w:val="04366A3D"/>
    <w:rsid w:val="045D3C6F"/>
    <w:rsid w:val="05162973"/>
    <w:rsid w:val="078E208F"/>
    <w:rsid w:val="07AD2AAB"/>
    <w:rsid w:val="09A73AF9"/>
    <w:rsid w:val="0A6A0048"/>
    <w:rsid w:val="0B0E7516"/>
    <w:rsid w:val="0BA900DB"/>
    <w:rsid w:val="0BB7047B"/>
    <w:rsid w:val="0BB91287"/>
    <w:rsid w:val="0C970E9C"/>
    <w:rsid w:val="0DE65279"/>
    <w:rsid w:val="0E825B30"/>
    <w:rsid w:val="0F3E6CFC"/>
    <w:rsid w:val="0F630E2E"/>
    <w:rsid w:val="0F787933"/>
    <w:rsid w:val="10DA6AA4"/>
    <w:rsid w:val="11A973A5"/>
    <w:rsid w:val="11C33BDF"/>
    <w:rsid w:val="11FA7F03"/>
    <w:rsid w:val="12CD1D08"/>
    <w:rsid w:val="130642B9"/>
    <w:rsid w:val="131B6383"/>
    <w:rsid w:val="13891289"/>
    <w:rsid w:val="14AE1F25"/>
    <w:rsid w:val="18C7014D"/>
    <w:rsid w:val="18CF2672"/>
    <w:rsid w:val="18E87C9D"/>
    <w:rsid w:val="1A1A3838"/>
    <w:rsid w:val="1A8A3DEE"/>
    <w:rsid w:val="1B0016FF"/>
    <w:rsid w:val="1B830F69"/>
    <w:rsid w:val="1E3B1FCF"/>
    <w:rsid w:val="1E7B3114"/>
    <w:rsid w:val="1FFC6C92"/>
    <w:rsid w:val="22485D46"/>
    <w:rsid w:val="241F37F9"/>
    <w:rsid w:val="25E92311"/>
    <w:rsid w:val="265611F5"/>
    <w:rsid w:val="26853DB9"/>
    <w:rsid w:val="26FD42C6"/>
    <w:rsid w:val="2784713D"/>
    <w:rsid w:val="286D0FD7"/>
    <w:rsid w:val="294824E3"/>
    <w:rsid w:val="294A57BC"/>
    <w:rsid w:val="2A585CB7"/>
    <w:rsid w:val="2A5D2D7F"/>
    <w:rsid w:val="2AFF27FC"/>
    <w:rsid w:val="2C1856FE"/>
    <w:rsid w:val="2C656A09"/>
    <w:rsid w:val="2D512CF7"/>
    <w:rsid w:val="2DB77BDA"/>
    <w:rsid w:val="2DDA0F8E"/>
    <w:rsid w:val="2E2C5491"/>
    <w:rsid w:val="2F9C3B74"/>
    <w:rsid w:val="306922B5"/>
    <w:rsid w:val="30992302"/>
    <w:rsid w:val="31411253"/>
    <w:rsid w:val="314D0BA1"/>
    <w:rsid w:val="341E3ACD"/>
    <w:rsid w:val="34FE4D53"/>
    <w:rsid w:val="36B407B1"/>
    <w:rsid w:val="37642EC7"/>
    <w:rsid w:val="38966328"/>
    <w:rsid w:val="393C240B"/>
    <w:rsid w:val="395E22F3"/>
    <w:rsid w:val="3B181DBA"/>
    <w:rsid w:val="3BE60A04"/>
    <w:rsid w:val="3C453CBD"/>
    <w:rsid w:val="3D13064F"/>
    <w:rsid w:val="3D5B369C"/>
    <w:rsid w:val="3DB23F12"/>
    <w:rsid w:val="3F43088C"/>
    <w:rsid w:val="3FCF5D54"/>
    <w:rsid w:val="400F2B16"/>
    <w:rsid w:val="407D6CFD"/>
    <w:rsid w:val="40C20CD2"/>
    <w:rsid w:val="4406131F"/>
    <w:rsid w:val="448C05DF"/>
    <w:rsid w:val="450F37B3"/>
    <w:rsid w:val="467C7A59"/>
    <w:rsid w:val="4802595B"/>
    <w:rsid w:val="482C2693"/>
    <w:rsid w:val="496679E4"/>
    <w:rsid w:val="49E65108"/>
    <w:rsid w:val="4AA20B5D"/>
    <w:rsid w:val="4BA7573F"/>
    <w:rsid w:val="4BDC0E18"/>
    <w:rsid w:val="4F066A1D"/>
    <w:rsid w:val="509B482E"/>
    <w:rsid w:val="51C6139A"/>
    <w:rsid w:val="52DB28E5"/>
    <w:rsid w:val="53922B81"/>
    <w:rsid w:val="54C94F38"/>
    <w:rsid w:val="56144A51"/>
    <w:rsid w:val="56791AD2"/>
    <w:rsid w:val="57210A63"/>
    <w:rsid w:val="577B40FE"/>
    <w:rsid w:val="59D0681A"/>
    <w:rsid w:val="5AD51083"/>
    <w:rsid w:val="5B0A0784"/>
    <w:rsid w:val="5D19768E"/>
    <w:rsid w:val="604E522D"/>
    <w:rsid w:val="60B936D1"/>
    <w:rsid w:val="610C4B2A"/>
    <w:rsid w:val="612023A6"/>
    <w:rsid w:val="61947FE6"/>
    <w:rsid w:val="61A45059"/>
    <w:rsid w:val="6260587F"/>
    <w:rsid w:val="63155F18"/>
    <w:rsid w:val="63D07D38"/>
    <w:rsid w:val="649E1F66"/>
    <w:rsid w:val="65007971"/>
    <w:rsid w:val="65A45331"/>
    <w:rsid w:val="65D14E6A"/>
    <w:rsid w:val="65DA4624"/>
    <w:rsid w:val="668C0434"/>
    <w:rsid w:val="66E879FC"/>
    <w:rsid w:val="66EC4B93"/>
    <w:rsid w:val="67A63741"/>
    <w:rsid w:val="67BE5652"/>
    <w:rsid w:val="68487B2F"/>
    <w:rsid w:val="69A96CE6"/>
    <w:rsid w:val="6A5D5090"/>
    <w:rsid w:val="6A7A0D56"/>
    <w:rsid w:val="6A8219B9"/>
    <w:rsid w:val="6B091F8A"/>
    <w:rsid w:val="6B7A20E5"/>
    <w:rsid w:val="6BD96616"/>
    <w:rsid w:val="6D170ADE"/>
    <w:rsid w:val="6D94617F"/>
    <w:rsid w:val="6F0B0745"/>
    <w:rsid w:val="700A492A"/>
    <w:rsid w:val="72EE059C"/>
    <w:rsid w:val="742612C4"/>
    <w:rsid w:val="7951463D"/>
    <w:rsid w:val="797B3FAB"/>
    <w:rsid w:val="799F2EF1"/>
    <w:rsid w:val="7AD63EB8"/>
    <w:rsid w:val="7C044EF6"/>
    <w:rsid w:val="7CF55854"/>
    <w:rsid w:val="7E7545DF"/>
    <w:rsid w:val="7F6C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napToGrid/>
      <w:spacing w:line="400" w:lineRule="exact"/>
      <w:ind w:firstLine="480" w:firstLineChars="200"/>
    </w:pPr>
    <w:rPr>
      <w:rFonts w:ascii="Calibri" w:hAnsi="Calibri"/>
      <w:sz w:val="21"/>
    </w:rPr>
  </w:style>
  <w:style w:type="paragraph" w:styleId="3">
    <w:name w:val="Body Text Indent"/>
    <w:basedOn w:val="1"/>
    <w:qFormat/>
    <w:uiPriority w:val="0"/>
    <w:pPr>
      <w:spacing w:after="120"/>
      <w:ind w:left="420" w:leftChars="200"/>
    </w:pPr>
  </w:style>
  <w:style w:type="paragraph" w:styleId="5">
    <w:name w:val="Body Text"/>
    <w:basedOn w:val="1"/>
    <w:qFormat/>
    <w:uiPriority w:val="0"/>
    <w:pPr>
      <w:widowControl w:val="0"/>
      <w:spacing w:before="0" w:after="120"/>
      <w:ind w:left="0" w:right="0"/>
      <w:jc w:val="both"/>
    </w:pPr>
    <w:rPr>
      <w:rFonts w:ascii="Calibri" w:hAnsi="Calibri" w:eastAsia="楷体_GB2312" w:cs="永中宋体"/>
      <w:kern w:val="0"/>
      <w:sz w:val="20"/>
      <w:szCs w:val="20"/>
      <w:lang w:val="en-US" w:eastAsia="zh-CN" w:bidi="ar-SA"/>
    </w:r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2">
    <w:name w:val="页眉 Char"/>
    <w:basedOn w:val="11"/>
    <w:link w:val="8"/>
    <w:qFormat/>
    <w:uiPriority w:val="99"/>
    <w:rPr>
      <w:sz w:val="18"/>
      <w:szCs w:val="18"/>
    </w:rPr>
  </w:style>
  <w:style w:type="character" w:customStyle="1" w:styleId="13">
    <w:name w:val="页脚 Char"/>
    <w:basedOn w:val="11"/>
    <w:link w:val="7"/>
    <w:qFormat/>
    <w:uiPriority w:val="99"/>
    <w:rPr>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1"/>
    <w:link w:val="6"/>
    <w:semiHidden/>
    <w:qFormat/>
    <w:uiPriority w:val="99"/>
    <w:rPr>
      <w:sz w:val="18"/>
      <w:szCs w:val="18"/>
    </w:rPr>
  </w:style>
  <w:style w:type="character" w:customStyle="1" w:styleId="17">
    <w:name w:val="font51"/>
    <w:basedOn w:val="11"/>
    <w:qFormat/>
    <w:uiPriority w:val="0"/>
    <w:rPr>
      <w:rFonts w:hint="eastAsia" w:ascii="宋体" w:hAnsi="宋体" w:eastAsia="宋体" w:cs="宋体"/>
      <w:b/>
      <w:bCs/>
      <w:color w:val="000000"/>
      <w:sz w:val="20"/>
      <w:szCs w:val="20"/>
      <w:u w:val="none"/>
    </w:rPr>
  </w:style>
  <w:style w:type="character" w:customStyle="1" w:styleId="18">
    <w:name w:val="font21"/>
    <w:basedOn w:val="11"/>
    <w:qFormat/>
    <w:uiPriority w:val="0"/>
    <w:rPr>
      <w:rFonts w:hint="eastAsia" w:ascii="宋体" w:hAnsi="宋体" w:eastAsia="宋体" w:cs="宋体"/>
      <w:color w:val="000000"/>
      <w:sz w:val="20"/>
      <w:szCs w:val="20"/>
      <w:u w:val="none"/>
    </w:rPr>
  </w:style>
  <w:style w:type="character" w:customStyle="1" w:styleId="19">
    <w:name w:val="font81"/>
    <w:basedOn w:val="11"/>
    <w:qFormat/>
    <w:uiPriority w:val="0"/>
    <w:rPr>
      <w:rFonts w:hint="eastAsia" w:ascii="宋体" w:hAnsi="宋体" w:eastAsia="宋体" w:cs="宋体"/>
      <w:color w:val="000000"/>
      <w:sz w:val="20"/>
      <w:szCs w:val="20"/>
      <w:u w:val="none"/>
    </w:rPr>
  </w:style>
  <w:style w:type="character" w:customStyle="1" w:styleId="20">
    <w:name w:val="font11"/>
    <w:basedOn w:val="11"/>
    <w:qFormat/>
    <w:uiPriority w:val="0"/>
    <w:rPr>
      <w:rFonts w:hint="eastAsia" w:ascii="宋体" w:hAnsi="宋体" w:eastAsia="宋体" w:cs="宋体"/>
      <w:b/>
      <w:bCs/>
      <w:color w:val="000000"/>
      <w:sz w:val="20"/>
      <w:szCs w:val="20"/>
      <w:u w:val="none"/>
    </w:rPr>
  </w:style>
  <w:style w:type="character" w:customStyle="1" w:styleId="21">
    <w:name w:val="font01"/>
    <w:basedOn w:val="11"/>
    <w:qFormat/>
    <w:uiPriority w:val="0"/>
    <w:rPr>
      <w:rFonts w:hint="eastAsia" w:ascii="宋体" w:hAnsi="宋体" w:eastAsia="宋体" w:cs="宋体"/>
      <w:color w:val="000000"/>
      <w:sz w:val="20"/>
      <w:szCs w:val="20"/>
      <w:u w:val="none"/>
    </w:rPr>
  </w:style>
  <w:style w:type="character" w:customStyle="1" w:styleId="22">
    <w:name w:val="font61"/>
    <w:basedOn w:val="11"/>
    <w:qFormat/>
    <w:uiPriority w:val="0"/>
    <w:rPr>
      <w:rFonts w:hint="eastAsia" w:ascii="宋体" w:hAnsi="宋体" w:eastAsia="宋体" w:cs="宋体"/>
      <w:color w:val="000000"/>
      <w:sz w:val="20"/>
      <w:szCs w:val="20"/>
      <w:u w:val="none"/>
    </w:rPr>
  </w:style>
  <w:style w:type="character" w:customStyle="1" w:styleId="23">
    <w:name w:val="font71"/>
    <w:basedOn w:val="11"/>
    <w:qFormat/>
    <w:uiPriority w:val="0"/>
    <w:rPr>
      <w:rFonts w:hint="default" w:ascii="Times New Roman" w:hAnsi="Times New Roman" w:cs="Times New Roman"/>
      <w:color w:val="000000"/>
      <w:sz w:val="20"/>
      <w:szCs w:val="20"/>
      <w:u w:val="none"/>
    </w:rPr>
  </w:style>
  <w:style w:type="character" w:customStyle="1" w:styleId="24">
    <w:name w:val="font41"/>
    <w:basedOn w:val="11"/>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10911</Words>
  <Characters>12498</Characters>
  <Lines>69</Lines>
  <Paragraphs>19</Paragraphs>
  <TotalTime>24</TotalTime>
  <ScaleCrop>false</ScaleCrop>
  <LinksUpToDate>false</LinksUpToDate>
  <CharactersWithSpaces>12570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2022-09-21T03:17:52Z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722DFBFFEE634E8CA08E08720ED5E0DE</vt:lpwstr>
  </property>
</Properties>
</file>