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 xml:space="preserve">  永州师范高等专科学校 </w:t>
      </w:r>
      <w:r>
        <w:rPr>
          <w:rFonts w:hint="eastAsia" w:ascii="方正小标宋_GBK" w:hAnsi="方正小标宋_GBK" w:eastAsia="方正小标宋_GBK" w:cs="方正小标宋_GBK"/>
          <w:sz w:val="84"/>
          <w:szCs w:val="84"/>
        </w:rPr>
        <w:t>部门决算</w:t>
      </w:r>
    </w:p>
    <w:p>
      <w:pPr>
        <w:pStyle w:val="11"/>
        <w:jc w:val="center"/>
        <w:rPr>
          <w:rFonts w:hint="eastAsia" w:ascii="方正小标宋_GBK" w:hAnsi="方正小标宋_GBK" w:eastAsia="方正小标宋_GBK" w:cs="方正小标宋_GBK"/>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00" w:lineRule="exact"/>
        <w:jc w:val="center"/>
        <w:rPr>
          <w:rFonts w:hint="eastAsia"/>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val="en-US" w:eastAsia="zh-CN"/>
        </w:rPr>
        <w:t>永州师范高等专科学校</w:t>
      </w:r>
      <w:r>
        <w:rPr>
          <w:rFonts w:hint="eastAsia" w:ascii="黑体" w:hAnsi="黑体" w:eastAsia="黑体" w:cs="黑体"/>
          <w:b w:val="0"/>
          <w:bCs/>
          <w:sz w:val="28"/>
          <w:szCs w:val="28"/>
        </w:rPr>
        <w:t>概况</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1"/>
        <w:spacing w:line="500" w:lineRule="exact"/>
        <w:rPr>
          <w:rFonts w:hint="eastAsia" w:ascii="黑体" w:hAnsi="黑体" w:eastAsia="黑体" w:cs="黑体"/>
          <w:b w:val="0"/>
          <w:bCs/>
          <w:sz w:val="28"/>
          <w:szCs w:val="28"/>
          <w:lang w:eastAsia="zh-CN"/>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r>
        <w:rPr>
          <w:rFonts w:hint="eastAsia" w:ascii="仿宋_GB2312" w:hAnsi="仿宋_GB2312" w:eastAsia="仿宋_GB2312" w:cs="仿宋_GB2312"/>
          <w:sz w:val="28"/>
          <w:szCs w:val="28"/>
          <w:lang w:eastAsia="zh-CN"/>
        </w:rPr>
        <w:t>（说明：</w:t>
      </w:r>
      <w:r>
        <w:rPr>
          <w:rFonts w:hint="eastAsia" w:ascii="仿宋_GB2312" w:hAnsi="仿宋_GB2312" w:eastAsia="仿宋_GB2312" w:cs="仿宋_GB2312"/>
          <w:sz w:val="28"/>
          <w:szCs w:val="28"/>
          <w:lang w:val="en-US" w:eastAsia="zh-CN"/>
        </w:rPr>
        <w:t>本套报表金额单位转换时可能存在尾数误差。</w:t>
      </w:r>
      <w:r>
        <w:rPr>
          <w:rFonts w:hint="eastAsia" w:ascii="仿宋_GB2312" w:hAnsi="仿宋_GB2312" w:eastAsia="仿宋_GB2312" w:cs="仿宋_GB2312"/>
          <w:sz w:val="28"/>
          <w:szCs w:val="28"/>
          <w:lang w:eastAsia="zh-CN"/>
        </w:rPr>
        <w:t>）</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七、财政拨款</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三公</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永州师范高等专科学校</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2"/>
        <w:numPr>
          <w:ilvl w:val="0"/>
          <w:numId w:val="0"/>
        </w:numPr>
        <w:ind w:leftChars="0" w:firstLine="960" w:firstLineChars="300"/>
        <w:jc w:val="left"/>
        <w:rPr>
          <w:rFonts w:hint="eastAsia" w:ascii="黑体" w:hAnsi="黑体" w:eastAsia="黑体" w:cs="黑体"/>
          <w:b w:val="0"/>
          <w:bCs w:val="0"/>
          <w:sz w:val="32"/>
          <w:szCs w:val="32"/>
          <w:lang w:eastAsia="zh-CN"/>
        </w:rPr>
      </w:pPr>
    </w:p>
    <w:p>
      <w:pPr>
        <w:pStyle w:val="12"/>
        <w:numPr>
          <w:ilvl w:val="0"/>
          <w:numId w:val="0"/>
        </w:numPr>
        <w:ind w:leftChars="0" w:firstLine="960" w:firstLineChars="300"/>
        <w:jc w:val="left"/>
        <w:rPr>
          <w:rFonts w:hint="eastAsia" w:ascii="黑体" w:hAnsi="黑体" w:eastAsia="黑体" w:cs="黑体"/>
          <w:b w:val="0"/>
          <w:bCs w:val="0"/>
          <w:sz w:val="32"/>
          <w:szCs w:val="32"/>
          <w:lang w:eastAsia="zh-CN"/>
        </w:rPr>
      </w:pPr>
    </w:p>
    <w:p>
      <w:pPr>
        <w:pStyle w:val="12"/>
        <w:numPr>
          <w:ilvl w:val="0"/>
          <w:numId w:val="0"/>
        </w:num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部门职责</w:t>
      </w:r>
    </w:p>
    <w:p>
      <w:pPr>
        <w:widowControl/>
        <w:spacing w:line="600" w:lineRule="exact"/>
        <w:ind w:firstLine="640" w:firstLineChars="200"/>
        <w:rPr>
          <w:rFonts w:hint="eastAsia" w:asciiTheme="minorEastAsia" w:hAnsiTheme="minorEastAsia" w:eastAsiaTheme="minorEastAsia"/>
          <w:b/>
          <w:bCs w:val="0"/>
          <w:sz w:val="32"/>
          <w:szCs w:val="32"/>
          <w:lang w:eastAsia="zh-CN"/>
        </w:rPr>
      </w:pPr>
      <w:r>
        <w:rPr>
          <w:rFonts w:hint="eastAsia" w:ascii="仿宋_GB2312" w:hAnsi="仿宋_GB2312" w:eastAsia="仿宋_GB2312" w:cs="仿宋_GB2312"/>
          <w:b w:val="0"/>
          <w:bCs/>
          <w:kern w:val="0"/>
          <w:sz w:val="32"/>
          <w:szCs w:val="32"/>
          <w:lang w:val="en-US" w:eastAsia="zh-CN"/>
        </w:rPr>
        <w:t>永州师范高等专科学校秉承“学高为师，身正为范”的校训，立足永州、面向全省、辐射周边省市，培养德智体美劳全面发展、“一专多能”、服务基础教育和经济社会发展的高素质人才。</w:t>
      </w:r>
    </w:p>
    <w:p>
      <w:pPr>
        <w:widowControl/>
        <w:spacing w:line="600" w:lineRule="exact"/>
        <w:ind w:firstLine="640" w:firstLineChars="200"/>
        <w:rPr>
          <w:rFonts w:hint="eastAsia" w:ascii="黑体" w:hAnsi="黑体" w:eastAsia="黑体" w:cs="黑体"/>
          <w:b w:val="0"/>
          <w:bCs w:val="0"/>
          <w:kern w:val="0"/>
          <w:sz w:val="32"/>
          <w:szCs w:val="32"/>
        </w:rPr>
      </w:pPr>
      <w:r>
        <w:rPr>
          <w:rFonts w:hint="eastAsia" w:ascii="黑体" w:hAnsi="黑体" w:eastAsia="黑体" w:cs="黑体"/>
          <w:b w:val="0"/>
          <w:bCs w:val="0"/>
          <w:kern w:val="2"/>
          <w:sz w:val="32"/>
          <w:szCs w:val="32"/>
          <w:lang w:val="en-US" w:eastAsia="zh-CN" w:bidi="ar-SA"/>
        </w:rPr>
        <w:t>二、机构设置及决算单位构成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Cs/>
          <w:kern w:val="0"/>
          <w:sz w:val="32"/>
          <w:szCs w:val="32"/>
          <w:lang w:val="en-US" w:eastAsia="zh-CN"/>
        </w:rPr>
      </w:pPr>
      <w:r>
        <w:rPr>
          <w:rFonts w:hint="eastAsia" w:ascii="楷体_GB2312" w:hAnsi="楷体_GB2312" w:eastAsia="楷体_GB2312" w:cs="楷体_GB2312"/>
          <w:b/>
          <w:bCs w:val="0"/>
          <w:kern w:val="0"/>
          <w:sz w:val="32"/>
          <w:szCs w:val="32"/>
        </w:rPr>
        <w:t>（一）内设机构设置。</w:t>
      </w:r>
      <w:r>
        <w:rPr>
          <w:rFonts w:hint="eastAsia" w:ascii="仿宋_GB2312" w:hAnsi="仿宋_GB2312" w:eastAsia="仿宋_GB2312" w:cs="仿宋_GB2312"/>
          <w:bCs/>
          <w:kern w:val="0"/>
          <w:sz w:val="32"/>
          <w:szCs w:val="32"/>
          <w:lang w:val="en-US" w:eastAsia="zh-CN"/>
        </w:rPr>
        <w:t>永州师范高等专科学校内设机构包括：</w:t>
      </w:r>
      <w:r>
        <w:rPr>
          <w:rFonts w:hint="eastAsia" w:ascii="仿宋_GB2312" w:hAnsi="仿宋_GB2312" w:eastAsia="仿宋_GB2312" w:cs="仿宋_GB2312"/>
          <w:bCs/>
          <w:kern w:val="0"/>
          <w:sz w:val="32"/>
          <w:szCs w:val="32"/>
          <w:highlight w:val="none"/>
          <w:lang w:val="en-US" w:eastAsia="zh-CN"/>
        </w:rPr>
        <w:t>党政办、组织人事部、宣传统战部、纪检监察审计处、教务处、科研规划处、学生处、财务校产处、后勤处、招生就业指导处、安保法制处11个党政机构；工会、团委2个群团组织；继续教育部、图书馆、教学督导评价中心3个教辅机构；小教学院、学前教育学院、文理学院、艺术学院、马克思主义学院5个教学部门。</w:t>
      </w:r>
      <w:r>
        <w:rPr>
          <w:rFonts w:hint="eastAsia" w:ascii="仿宋_GB2312" w:hAnsi="仿宋" w:eastAsia="仿宋_GB2312" w:cs="仿宋_GB2312"/>
          <w:color w:val="000000"/>
          <w:kern w:val="2"/>
          <w:sz w:val="32"/>
          <w:szCs w:val="32"/>
          <w:lang w:val="en-US" w:eastAsia="zh-CN" w:bidi="ar"/>
        </w:rPr>
        <w:t>市编办核定本部门编制450人，</w:t>
      </w:r>
      <w:r>
        <w:rPr>
          <w:rFonts w:hint="eastAsia" w:ascii="仿宋_GB2312" w:eastAsia="仿宋_GB2312"/>
          <w:sz w:val="32"/>
          <w:szCs w:val="32"/>
          <w:lang w:val="en-US" w:eastAsia="zh-CN"/>
        </w:rPr>
        <w:t>现有</w:t>
      </w:r>
      <w:r>
        <w:rPr>
          <w:rFonts w:hint="eastAsia" w:ascii="仿宋_GB2312" w:eastAsia="仿宋_GB2312"/>
          <w:sz w:val="32"/>
          <w:szCs w:val="32"/>
        </w:rPr>
        <w:t>在职</w:t>
      </w:r>
      <w:r>
        <w:rPr>
          <w:rFonts w:hint="eastAsia" w:ascii="仿宋_GB2312" w:eastAsia="仿宋_GB2312"/>
          <w:sz w:val="32"/>
          <w:szCs w:val="32"/>
          <w:lang w:val="en-US" w:eastAsia="zh-CN"/>
        </w:rPr>
        <w:t>在编</w:t>
      </w:r>
      <w:r>
        <w:rPr>
          <w:rFonts w:hint="eastAsia" w:ascii="仿宋_GB2312" w:eastAsia="仿宋_GB2312"/>
          <w:sz w:val="32"/>
          <w:szCs w:val="32"/>
        </w:rPr>
        <w:t>人员</w:t>
      </w:r>
      <w:r>
        <w:rPr>
          <w:rFonts w:hint="eastAsia" w:ascii="仿宋_GB2312" w:eastAsia="仿宋_GB2312"/>
          <w:sz w:val="32"/>
          <w:szCs w:val="32"/>
          <w:lang w:val="en-US" w:eastAsia="zh-CN"/>
        </w:rPr>
        <w:t>308</w:t>
      </w:r>
      <w:r>
        <w:rPr>
          <w:rFonts w:hint="eastAsia" w:ascii="仿宋_GB2312" w:eastAsia="仿宋_GB2312"/>
          <w:sz w:val="32"/>
          <w:szCs w:val="32"/>
        </w:rPr>
        <w:t>人，退休人员</w:t>
      </w:r>
      <w:r>
        <w:rPr>
          <w:rFonts w:hint="eastAsia" w:ascii="仿宋_GB2312" w:eastAsia="仿宋_GB2312"/>
          <w:sz w:val="32"/>
          <w:szCs w:val="32"/>
          <w:lang w:val="en-US" w:eastAsia="zh-CN"/>
        </w:rPr>
        <w:t>101</w:t>
      </w:r>
      <w:r>
        <w:rPr>
          <w:rFonts w:hint="eastAsia" w:ascii="仿宋_GB2312" w:eastAsia="仿宋_GB2312"/>
          <w:sz w:val="32"/>
          <w:szCs w:val="32"/>
        </w:rPr>
        <w:t>人。</w:t>
      </w:r>
    </w:p>
    <w:p>
      <w:pPr>
        <w:widowControl/>
        <w:spacing w:line="600" w:lineRule="exact"/>
        <w:ind w:firstLine="643" w:firstLineChars="200"/>
        <w:rPr>
          <w:rFonts w:hint="eastAsia" w:ascii="Times New Roman" w:hAnsi="Times New Roman" w:eastAsia="仿宋_GB2312" w:cs="黑体"/>
          <w:color w:val="000000"/>
          <w:kern w:val="0"/>
          <w:sz w:val="32"/>
          <w:szCs w:val="32"/>
          <w:lang w:val="en-US" w:eastAsia="zh-CN" w:bidi="ar-SA"/>
        </w:rPr>
      </w:pPr>
      <w:r>
        <w:rPr>
          <w:rFonts w:hint="eastAsia" w:ascii="楷体_GB2312" w:hAnsi="楷体_GB2312" w:eastAsia="楷体_GB2312" w:cs="楷体_GB2312"/>
          <w:b/>
          <w:bCs w:val="0"/>
          <w:kern w:val="0"/>
          <w:sz w:val="32"/>
          <w:szCs w:val="32"/>
        </w:rPr>
        <w:t>（二）决算单位构成。</w:t>
      </w:r>
      <w:r>
        <w:rPr>
          <w:rFonts w:hint="eastAsia" w:ascii="仿宋_GB2312" w:hAnsi="仿宋_GB2312" w:eastAsia="仿宋_GB2312" w:cs="仿宋_GB2312"/>
          <w:bCs/>
          <w:kern w:val="0"/>
          <w:sz w:val="32"/>
          <w:szCs w:val="32"/>
          <w:lang w:val="en-US" w:eastAsia="zh-CN"/>
        </w:rPr>
        <w:t>永州师范高等专科学校</w:t>
      </w:r>
      <w:r>
        <w:rPr>
          <w:rFonts w:hint="eastAsia" w:ascii="仿宋_GB2312" w:hAnsi="仿宋_GB2312" w:eastAsia="仿宋_GB2312" w:cs="仿宋_GB2312"/>
          <w:bCs/>
          <w:kern w:val="0"/>
          <w:sz w:val="32"/>
          <w:szCs w:val="32"/>
        </w:rPr>
        <w:t>202</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年部门决算汇总公开单位构成包括：</w:t>
      </w:r>
      <w:r>
        <w:rPr>
          <w:rFonts w:hint="eastAsia" w:ascii="仿宋_GB2312" w:hAnsi="仿宋_GB2312" w:eastAsia="仿宋_GB2312" w:cs="仿宋_GB2312"/>
          <w:bCs/>
          <w:kern w:val="0"/>
          <w:sz w:val="32"/>
          <w:szCs w:val="32"/>
          <w:lang w:val="en-US" w:eastAsia="zh-CN"/>
        </w:rPr>
        <w:t>永州师范高等专科学校本级。</w:t>
      </w:r>
    </w:p>
    <w:p>
      <w:pPr>
        <w:jc w:val="left"/>
        <w:rPr>
          <w:rFonts w:ascii="仿宋_GB2312" w:eastAsia="仿宋_GB2312" w:hAnsiTheme="minorEastAsia"/>
          <w:sz w:val="28"/>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rFonts w:hint="eastAsia" w:ascii="楷体_GB2312" w:hAnsi="楷体_GB2312" w:eastAsia="楷体_GB2312" w:cs="楷体_GB2312"/>
          <w:b/>
          <w:bCs/>
          <w:color w:val="000000"/>
          <w:kern w:val="0"/>
          <w:sz w:val="52"/>
          <w:szCs w:val="52"/>
          <w:lang w:val="en-US" w:eastAsia="zh-CN" w:bidi="ar-SA"/>
        </w:rPr>
      </w:pPr>
      <w:r>
        <w:rPr>
          <w:rFonts w:hint="eastAsia" w:ascii="楷体_GB2312" w:hAnsi="楷体_GB2312" w:eastAsia="楷体_GB2312" w:cs="楷体_GB2312"/>
          <w:b/>
          <w:bCs/>
          <w:color w:val="000000"/>
          <w:kern w:val="0"/>
          <w:sz w:val="52"/>
          <w:szCs w:val="52"/>
          <w:lang w:val="en-US" w:eastAsia="zh-CN" w:bidi="ar-SA"/>
        </w:rPr>
        <w:t>（详见附表）</w:t>
      </w:r>
    </w:p>
    <w:p>
      <w:pPr>
        <w:pStyle w:val="11"/>
        <w:jc w:val="center"/>
        <w:rPr>
          <w:rFonts w:hint="eastAsia" w:ascii="方正小标宋_GBK" w:hAnsi="方正小标宋_GBK" w:eastAsia="方正小标宋_GBK" w:cs="方正小标宋_GBK"/>
          <w:sz w:val="84"/>
          <w:szCs w:val="84"/>
        </w:rPr>
      </w:pPr>
    </w:p>
    <w:p>
      <w:pPr>
        <w:jc w:val="center"/>
        <w:rPr>
          <w:sz w:val="72"/>
          <w:szCs w:val="72"/>
        </w:rPr>
      </w:pPr>
    </w:p>
    <w:p>
      <w:pPr>
        <w:widowControl/>
        <w:jc w:val="both"/>
        <w:rPr>
          <w:sz w:val="72"/>
          <w:szCs w:val="72"/>
        </w:rPr>
        <w:sectPr>
          <w:pgSz w:w="11906" w:h="16838"/>
          <w:pgMar w:top="720" w:right="720" w:bottom="720" w:left="720" w:header="851" w:footer="992" w:gutter="0"/>
          <w:cols w:space="425" w:num="1"/>
          <w:docGrid w:type="lines" w:linePitch="312" w:charSpace="0"/>
        </w:sectPr>
      </w:pPr>
      <w:r>
        <w:rPr>
          <w:rFonts w:ascii="黑体" w:hAnsi="黑体" w:eastAsia="黑体"/>
          <w:szCs w:val="21"/>
        </w:rPr>
        <w:br w:type="page"/>
      </w:r>
    </w:p>
    <w:p>
      <w:pPr>
        <w:pStyle w:val="11"/>
        <w:rPr>
          <w:sz w:val="72"/>
          <w:szCs w:val="72"/>
        </w:rPr>
      </w:pPr>
    </w:p>
    <w:p>
      <w:pPr>
        <w:pStyle w:val="11"/>
        <w:rPr>
          <w:sz w:val="72"/>
          <w:szCs w:val="72"/>
        </w:rPr>
      </w:pPr>
    </w:p>
    <w:p>
      <w:pPr>
        <w:pStyle w:val="11"/>
        <w:jc w:val="center"/>
        <w:rPr>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1"/>
        <w:jc w:val="center"/>
        <w:rPr>
          <w:rFonts w:hint="eastAsia" w:ascii="方正小标宋_GBK" w:hAnsi="方正小标宋_GBK" w:eastAsia="方正小标宋_GBK" w:cs="方正小标宋_GBK"/>
          <w:sz w:val="70"/>
          <w:szCs w:val="70"/>
        </w:rPr>
      </w:pPr>
    </w:p>
    <w:p>
      <w:pPr>
        <w:pStyle w:val="11"/>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w:t>
      </w:r>
      <w:r>
        <w:rPr>
          <w:rFonts w:hint="eastAsia" w:ascii="Times New Roman" w:hAnsi="Times New Roman" w:eastAsia="仿宋_GB2312"/>
          <w:sz w:val="32"/>
          <w:szCs w:val="32"/>
          <w:lang w:eastAsia="zh-CN"/>
        </w:rPr>
        <w:t>入</w:t>
      </w:r>
      <w:r>
        <w:rPr>
          <w:rFonts w:hint="eastAsia" w:ascii="Times New Roman" w:hAnsi="Times New Roman" w:eastAsia="仿宋_GB2312"/>
          <w:sz w:val="32"/>
          <w:szCs w:val="32"/>
        </w:rPr>
        <w:t>总计</w:t>
      </w:r>
      <w:r>
        <w:rPr>
          <w:rFonts w:hint="eastAsia" w:ascii="Times New Roman" w:hAnsi="Times New Roman" w:eastAsia="仿宋_GB2312"/>
          <w:sz w:val="32"/>
          <w:szCs w:val="32"/>
          <w:lang w:val="en-US" w:eastAsia="zh-CN"/>
        </w:rPr>
        <w:t>9721.49</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2080.95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27.24</w:t>
      </w:r>
      <w:r>
        <w:rPr>
          <w:rFonts w:hint="eastAsia" w:ascii="Times New Roman" w:hAnsi="Times New Roman" w:eastAsia="仿宋_GB2312"/>
          <w:sz w:val="32"/>
          <w:szCs w:val="32"/>
        </w:rPr>
        <w:t>%，主要是因为</w:t>
      </w:r>
      <w:r>
        <w:rPr>
          <w:rFonts w:hint="eastAsia" w:ascii="仿宋_GB2312" w:hAnsi="仿宋" w:eastAsia="仿宋_GB2312"/>
          <w:sz w:val="32"/>
          <w:szCs w:val="32"/>
          <w:highlight w:val="none"/>
          <w:lang w:val="en-US" w:eastAsia="zh-CN"/>
        </w:rPr>
        <w:t>财政追加项目资金</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eastAsia="zh-CN"/>
        </w:rPr>
        <w:t>支出</w:t>
      </w:r>
      <w:r>
        <w:rPr>
          <w:rFonts w:hint="eastAsia" w:ascii="Times New Roman" w:hAnsi="Times New Roman" w:eastAsia="仿宋_GB2312"/>
          <w:sz w:val="32"/>
          <w:szCs w:val="32"/>
        </w:rPr>
        <w:t>总计</w:t>
      </w:r>
      <w:r>
        <w:rPr>
          <w:rFonts w:hint="eastAsia" w:ascii="Times New Roman" w:hAnsi="Times New Roman" w:eastAsia="仿宋_GB2312"/>
          <w:sz w:val="32"/>
          <w:szCs w:val="32"/>
          <w:lang w:val="en-US" w:eastAsia="zh-CN"/>
        </w:rPr>
        <w:t>9721.49</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2080.95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27.24</w:t>
      </w:r>
      <w:r>
        <w:rPr>
          <w:rFonts w:hint="eastAsia" w:ascii="Times New Roman" w:hAnsi="Times New Roman" w:eastAsia="仿宋_GB2312"/>
          <w:sz w:val="32"/>
          <w:szCs w:val="32"/>
        </w:rPr>
        <w:t>%，主要是因为</w:t>
      </w:r>
      <w:r>
        <w:rPr>
          <w:rFonts w:hint="eastAsia" w:ascii="仿宋_GB2312" w:hAnsi="仿宋" w:eastAsia="仿宋_GB2312"/>
          <w:sz w:val="32"/>
          <w:szCs w:val="32"/>
          <w:highlight w:val="none"/>
          <w:lang w:val="en-US" w:eastAsia="zh-CN"/>
        </w:rPr>
        <w:t>财政追加项目资金</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9721.49</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7413.54万</w:t>
      </w:r>
      <w:r>
        <w:rPr>
          <w:rFonts w:hint="eastAsia" w:ascii="Times New Roman" w:hAnsi="Times New Roman" w:eastAsia="仿宋_GB2312"/>
          <w:sz w:val="32"/>
          <w:szCs w:val="32"/>
        </w:rPr>
        <w:t>元，占</w:t>
      </w:r>
      <w:r>
        <w:rPr>
          <w:rFonts w:hint="eastAsia" w:ascii="Times New Roman" w:hAnsi="Times New Roman" w:eastAsia="仿宋_GB2312"/>
          <w:sz w:val="32"/>
          <w:szCs w:val="32"/>
          <w:lang w:val="en-US" w:eastAsia="zh-CN"/>
        </w:rPr>
        <w:t>76.26</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2307.95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23.74</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9721.49</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4449.56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45.77</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5271.93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54.23</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w:t>
      </w:r>
      <w:r>
        <w:rPr>
          <w:rFonts w:hint="eastAsia" w:ascii="Times New Roman" w:hAnsi="Times New Roman" w:eastAsia="仿宋_GB2312"/>
          <w:sz w:val="32"/>
          <w:szCs w:val="32"/>
          <w:lang w:eastAsia="zh-CN"/>
        </w:rPr>
        <w:t>入</w:t>
      </w:r>
      <w:r>
        <w:rPr>
          <w:rFonts w:hint="eastAsia" w:ascii="Times New Roman" w:hAnsi="Times New Roman" w:eastAsia="仿宋_GB2312"/>
          <w:sz w:val="32"/>
          <w:szCs w:val="32"/>
        </w:rPr>
        <w:t>总计</w:t>
      </w:r>
      <w:r>
        <w:rPr>
          <w:rFonts w:hint="eastAsia" w:ascii="Times New Roman" w:hAnsi="Times New Roman" w:eastAsia="仿宋_GB2312"/>
          <w:sz w:val="32"/>
          <w:szCs w:val="32"/>
          <w:lang w:val="en-US" w:eastAsia="zh-CN"/>
        </w:rPr>
        <w:t>7413.54</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2538.93</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52.08</w:t>
      </w:r>
      <w:r>
        <w:rPr>
          <w:rFonts w:hint="eastAsia" w:ascii="Times New Roman" w:hAnsi="Times New Roman" w:eastAsia="仿宋_GB2312"/>
          <w:sz w:val="32"/>
          <w:szCs w:val="32"/>
        </w:rPr>
        <w:t>%，主要是因为</w:t>
      </w:r>
      <w:r>
        <w:rPr>
          <w:rFonts w:hint="eastAsia" w:ascii="仿宋_GB2312" w:hAnsi="仿宋" w:eastAsia="仿宋_GB2312" w:cs="Times New Roman"/>
          <w:sz w:val="32"/>
          <w:szCs w:val="32"/>
          <w:highlight w:val="none"/>
          <w:lang w:val="en-US" w:eastAsia="zh-CN"/>
        </w:rPr>
        <w:t>财政追加项目资金</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w:t>
      </w:r>
      <w:r>
        <w:rPr>
          <w:rFonts w:hint="eastAsia" w:ascii="Times New Roman" w:hAnsi="Times New Roman" w:eastAsia="仿宋_GB2312"/>
          <w:sz w:val="32"/>
          <w:szCs w:val="32"/>
          <w:lang w:eastAsia="zh-CN"/>
        </w:rPr>
        <w:t>支出</w:t>
      </w:r>
      <w:r>
        <w:rPr>
          <w:rFonts w:hint="eastAsia" w:ascii="Times New Roman" w:hAnsi="Times New Roman" w:eastAsia="仿宋_GB2312"/>
          <w:sz w:val="32"/>
          <w:szCs w:val="32"/>
        </w:rPr>
        <w:t>总计</w:t>
      </w:r>
      <w:r>
        <w:rPr>
          <w:rFonts w:hint="eastAsia" w:ascii="Times New Roman" w:hAnsi="Times New Roman" w:eastAsia="仿宋_GB2312"/>
          <w:sz w:val="32"/>
          <w:szCs w:val="32"/>
          <w:lang w:val="en-US" w:eastAsia="zh-CN"/>
        </w:rPr>
        <w:t>7413.54</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2538.93</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52.08</w:t>
      </w:r>
      <w:r>
        <w:rPr>
          <w:rFonts w:hint="eastAsia" w:ascii="Times New Roman" w:hAnsi="Times New Roman" w:eastAsia="仿宋_GB2312"/>
          <w:sz w:val="32"/>
          <w:szCs w:val="32"/>
        </w:rPr>
        <w:t>%，主要是因为</w:t>
      </w:r>
      <w:r>
        <w:rPr>
          <w:rFonts w:hint="eastAsia" w:ascii="仿宋_GB2312" w:hAnsi="仿宋" w:eastAsia="仿宋_GB2312" w:cs="Times New Roman"/>
          <w:sz w:val="32"/>
          <w:szCs w:val="32"/>
          <w:highlight w:val="none"/>
          <w:lang w:val="en-US" w:eastAsia="zh-CN"/>
        </w:rPr>
        <w:t>财政追加项目资金</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（一）财政拨款支出决算总体情况</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7413.54</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76.26</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2538.93</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52.08</w:t>
      </w:r>
      <w:r>
        <w:rPr>
          <w:rFonts w:hint="eastAsia" w:ascii="Times New Roman" w:hAnsi="Times New Roman" w:eastAsia="仿宋_GB2312"/>
          <w:sz w:val="32"/>
          <w:szCs w:val="32"/>
        </w:rPr>
        <w:t>%，主要是因为</w:t>
      </w:r>
      <w:r>
        <w:rPr>
          <w:rFonts w:hint="eastAsia" w:ascii="仿宋_GB2312" w:hAnsi="仿宋" w:eastAsia="仿宋_GB2312" w:cs="Times New Roman"/>
          <w:sz w:val="32"/>
          <w:szCs w:val="32"/>
          <w:highlight w:val="none"/>
          <w:lang w:val="en-US" w:eastAsia="zh-CN"/>
        </w:rPr>
        <w:t>财政追加项目资金。</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（二）财政拨款支出决算结构情况</w:t>
      </w:r>
    </w:p>
    <w:p>
      <w:pPr>
        <w:pStyle w:val="11"/>
        <w:ind w:firstLine="640" w:firstLineChars="200"/>
        <w:jc w:val="both"/>
        <w:rPr>
          <w:rFonts w:hint="eastAsia" w:asciiTheme="minorEastAsia" w:hAnsiTheme="minorEastAsia" w:eastAsiaTheme="minorEastAsia"/>
          <w:b w:val="0"/>
          <w:bCs w:val="0"/>
          <w:color w:val="FF0000"/>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7413.54</w:t>
      </w:r>
      <w:r>
        <w:rPr>
          <w:rFonts w:hint="eastAsia" w:ascii="Times New Roman" w:hAnsi="Times New Roman" w:eastAsia="仿宋_GB2312"/>
          <w:sz w:val="32"/>
          <w:szCs w:val="32"/>
        </w:rPr>
        <w:t>万元，主要用于以下方面：教育支出</w:t>
      </w:r>
      <w:r>
        <w:rPr>
          <w:rFonts w:hint="eastAsia" w:ascii="Times New Roman" w:hAnsi="Times New Roman" w:eastAsia="仿宋_GB2312"/>
          <w:sz w:val="32"/>
          <w:szCs w:val="32"/>
          <w:lang w:val="en-US" w:eastAsia="zh-CN"/>
        </w:rPr>
        <w:t>6576.06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88.7</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社会保障和就业支出399.55万元，占5.39%；卫生健康支出187.6万元，占2.53%；住房保障支出250.33万元，占3.38%。</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（三）财政拨款支出决算具体情况</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6598.22</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7413.54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112.36</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教育支出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普通教育</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高等教育</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2831.6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3976.44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140.43</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val="en-US" w:eastAsia="zh-CN"/>
        </w:rPr>
        <w:t>追加2021年在职人员绩效奖金（预发）、追加人员经费及2022年第二批支持基层落实减税降费和重点民生转移支付资金等。</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教育支出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普通教育</w:t>
      </w:r>
      <w:r>
        <w:rPr>
          <w:rFonts w:hint="eastAsia" w:ascii="Times New Roman" w:hAnsi="Times New Roman" w:eastAsia="仿宋_GB2312"/>
          <w:sz w:val="32"/>
          <w:szCs w:val="32"/>
        </w:rPr>
        <w:t>（款）其他普通教育支出（项）。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0.98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年初预算未安排，为年中追加安排的第六批教育综合发展专项资金。</w:t>
      </w:r>
    </w:p>
    <w:p>
      <w:pPr>
        <w:pStyle w:val="11"/>
        <w:keepNext w:val="0"/>
        <w:keepLines w:val="0"/>
        <w:pageBreakBefore w:val="0"/>
        <w:widowControl w:val="0"/>
        <w:numPr>
          <w:ilvl w:val="0"/>
          <w:numId w:val="1"/>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教育支出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职业教育</w:t>
      </w:r>
      <w:r>
        <w:rPr>
          <w:rFonts w:hint="eastAsia" w:ascii="Times New Roman" w:hAnsi="Times New Roman" w:eastAsia="仿宋_GB2312"/>
          <w:sz w:val="32"/>
          <w:szCs w:val="32"/>
        </w:rPr>
        <w:t>（款）中等职业教育支出（项）。</w:t>
      </w:r>
    </w:p>
    <w:p>
      <w:pPr>
        <w:pStyle w:val="11"/>
        <w:keepNext w:val="0"/>
        <w:keepLines w:val="0"/>
        <w:pageBreakBefore w:val="0"/>
        <w:widowControl w:val="0"/>
        <w:numPr>
          <w:ilvl w:val="0"/>
          <w:numId w:val="0"/>
        </w:numPr>
        <w:kinsoku/>
        <w:wordWrap/>
        <w:overflowPunct/>
        <w:topLinePunct w:val="0"/>
        <w:bidi w:val="0"/>
        <w:snapToGrid/>
        <w:spacing w:line="60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sz w:val="32"/>
          <w:szCs w:val="32"/>
          <w:lang w:val="en-US" w:eastAsia="zh-CN"/>
        </w:rPr>
        <w:t>年初预算为0万元，支出决算为578.39万元，决算数大于年初预算数的主要原因是：年初预算未安排，为年中追加安排的公费定向师范生经费市级配套资金、2020年改善中职办学条件中央资金、</w:t>
      </w:r>
      <w:r>
        <w:rPr>
          <w:rFonts w:hint="eastAsia" w:ascii="仿宋_GB2312" w:hAnsi="仿宋_GB2312" w:eastAsia="仿宋_GB2312" w:cs="仿宋_GB2312"/>
          <w:b w:val="0"/>
          <w:bCs w:val="0"/>
          <w:sz w:val="32"/>
          <w:szCs w:val="32"/>
          <w:lang w:val="en-US" w:eastAsia="zh-CN"/>
        </w:rPr>
        <w:t>中职免学费专项资金及助学金等。</w:t>
      </w:r>
    </w:p>
    <w:p>
      <w:pPr>
        <w:pStyle w:val="11"/>
        <w:keepNext w:val="0"/>
        <w:keepLines w:val="0"/>
        <w:pageBreakBefore w:val="0"/>
        <w:widowControl w:val="0"/>
        <w:numPr>
          <w:ilvl w:val="0"/>
          <w:numId w:val="1"/>
        </w:numPr>
        <w:kinsoku/>
        <w:wordWrap/>
        <w:overflowPunct/>
        <w:topLinePunct w:val="0"/>
        <w:bidi w:val="0"/>
        <w:snapToGrid/>
        <w:spacing w:line="600" w:lineRule="exact"/>
        <w:ind w:left="0" w:leftChars="0"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教育支出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职业教育</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高</w:t>
      </w:r>
      <w:r>
        <w:rPr>
          <w:rFonts w:hint="eastAsia" w:ascii="Times New Roman" w:hAnsi="Times New Roman" w:eastAsia="仿宋_GB2312"/>
          <w:sz w:val="32"/>
          <w:szCs w:val="32"/>
        </w:rPr>
        <w:t>等职业教育支出（项）。</w:t>
      </w:r>
    </w:p>
    <w:p>
      <w:pPr>
        <w:pStyle w:val="11"/>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年初预算为0万元，支出决算为0.84万元，决算数大于年初预算数的主要原因是：年初预算未安排，为年中追加安排的职业院校教师素质提高计划中央资金。</w:t>
      </w:r>
    </w:p>
    <w:p>
      <w:pPr>
        <w:pStyle w:val="11"/>
        <w:keepNext w:val="0"/>
        <w:keepLines w:val="0"/>
        <w:pageBreakBefore w:val="0"/>
        <w:widowControl w:val="0"/>
        <w:numPr>
          <w:ilvl w:val="0"/>
          <w:numId w:val="0"/>
        </w:numPr>
        <w:kinsoku/>
        <w:wordWrap/>
        <w:overflowPunct/>
        <w:topLinePunct w:val="0"/>
        <w:bidi w:val="0"/>
        <w:snapToGrid/>
        <w:spacing w:line="600" w:lineRule="exact"/>
        <w:ind w:leftChars="250" w:firstLine="160" w:firstLineChars="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5、教育支出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职业教育</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其他职业教育</w:t>
      </w:r>
      <w:r>
        <w:rPr>
          <w:rFonts w:hint="eastAsia" w:ascii="Times New Roman" w:hAnsi="Times New Roman" w:eastAsia="仿宋_GB2312"/>
          <w:sz w:val="32"/>
          <w:szCs w:val="32"/>
        </w:rPr>
        <w:t>支出（项）。</w:t>
      </w:r>
    </w:p>
    <w:p>
      <w:pPr>
        <w:pStyle w:val="11"/>
        <w:keepNext w:val="0"/>
        <w:keepLines w:val="0"/>
        <w:pageBreakBefore w:val="0"/>
        <w:widowControl w:val="0"/>
        <w:numPr>
          <w:ilvl w:val="0"/>
          <w:numId w:val="0"/>
        </w:numPr>
        <w:kinsoku/>
        <w:wordWrap/>
        <w:overflowPunct/>
        <w:topLinePunct w:val="0"/>
        <w:bidi w:val="0"/>
        <w:snapToGrid/>
        <w:spacing w:line="60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年初预算为0万元，支出决算为163.5万元，决算数大于年初预算数的主要原因是：年初预算未安排，为年中追加安排的中职免学费专项资金。</w:t>
      </w:r>
    </w:p>
    <w:p>
      <w:pPr>
        <w:pStyle w:val="11"/>
        <w:keepNext w:val="0"/>
        <w:keepLines w:val="0"/>
        <w:pageBreakBefore w:val="0"/>
        <w:widowControl w:val="0"/>
        <w:numPr>
          <w:ilvl w:val="0"/>
          <w:numId w:val="0"/>
        </w:numPr>
        <w:kinsoku/>
        <w:wordWrap/>
        <w:overflowPunct/>
        <w:topLinePunct w:val="0"/>
        <w:bidi w:val="0"/>
        <w:snapToGrid/>
        <w:spacing w:line="60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6、教育支出（类）教育费附加安排的支出（款）其他教育费附加安排的支出（项）。</w:t>
      </w:r>
    </w:p>
    <w:p>
      <w:pPr>
        <w:pStyle w:val="11"/>
        <w:keepNext w:val="0"/>
        <w:keepLines w:val="0"/>
        <w:pageBreakBefore w:val="0"/>
        <w:widowControl w:val="0"/>
        <w:numPr>
          <w:ilvl w:val="0"/>
          <w:numId w:val="0"/>
        </w:numPr>
        <w:kinsoku/>
        <w:wordWrap/>
        <w:overflowPunct/>
        <w:topLinePunct w:val="0"/>
        <w:bidi w:val="0"/>
        <w:snapToGrid/>
        <w:spacing w:line="60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年初预算为3000万元，支出决算为1855.9万元，完成年初预算的61.86%，决算数小于年初预算数的主要原因是：永州幼儿师范高等专科学校建设资金减半拨付。</w:t>
      </w:r>
    </w:p>
    <w:p>
      <w:pPr>
        <w:pStyle w:val="11"/>
        <w:keepNext w:val="0"/>
        <w:keepLines w:val="0"/>
        <w:pageBreakBefore w:val="0"/>
        <w:widowControl w:val="0"/>
        <w:numPr>
          <w:ilvl w:val="0"/>
          <w:numId w:val="0"/>
        </w:numPr>
        <w:kinsoku/>
        <w:wordWrap/>
        <w:overflowPunct/>
        <w:topLinePunct w:val="0"/>
        <w:bidi w:val="0"/>
        <w:snapToGrid/>
        <w:spacing w:line="60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7、社会保障和就业支出（类）行政事业单位养老支出（款）机关事业单位基本养老保险缴费支出（项）。</w:t>
      </w:r>
    </w:p>
    <w:p>
      <w:pPr>
        <w:pStyle w:val="11"/>
        <w:keepNext w:val="0"/>
        <w:keepLines w:val="0"/>
        <w:pageBreakBefore w:val="0"/>
        <w:widowControl w:val="0"/>
        <w:numPr>
          <w:ilvl w:val="0"/>
          <w:numId w:val="0"/>
        </w:numPr>
        <w:kinsoku/>
        <w:wordWrap/>
        <w:overflowPunct/>
        <w:topLinePunct w:val="0"/>
        <w:bidi w:val="0"/>
        <w:snapToGrid/>
        <w:spacing w:line="60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年初预算为334.22万元，支出决算为345.02万元，完成年初预算的103.23%，决算数大于年初预算数的主要原因是：人员变动，追加安排的机关事业单位基本养老保险缴费支出。</w:t>
      </w:r>
    </w:p>
    <w:p>
      <w:pPr>
        <w:pStyle w:val="11"/>
        <w:keepNext w:val="0"/>
        <w:keepLines w:val="0"/>
        <w:pageBreakBefore w:val="0"/>
        <w:widowControl w:val="0"/>
        <w:numPr>
          <w:ilvl w:val="0"/>
          <w:numId w:val="0"/>
        </w:numPr>
        <w:kinsoku/>
        <w:wordWrap/>
        <w:overflowPunct/>
        <w:topLinePunct w:val="0"/>
        <w:bidi w:val="0"/>
        <w:snapToGrid/>
        <w:spacing w:line="60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8、社会保障和就业支出（类）行政事业单位养老支出（款）其他行政事业单位养老支出（项）。</w:t>
      </w:r>
    </w:p>
    <w:p>
      <w:pPr>
        <w:pStyle w:val="11"/>
        <w:keepNext w:val="0"/>
        <w:keepLines w:val="0"/>
        <w:pageBreakBefore w:val="0"/>
        <w:widowControl w:val="0"/>
        <w:numPr>
          <w:ilvl w:val="0"/>
          <w:numId w:val="0"/>
        </w:numPr>
        <w:kinsoku/>
        <w:wordWrap/>
        <w:overflowPunct/>
        <w:topLinePunct w:val="0"/>
        <w:bidi w:val="0"/>
        <w:snapToGrid/>
        <w:spacing w:line="60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年初预算为0万元，支出决算为26.31万元，决算数大于年初预算数的主要原因是：年初预算未安排，为年中追加安排的离退休人员生活补贴。</w:t>
      </w:r>
    </w:p>
    <w:p>
      <w:pPr>
        <w:pStyle w:val="11"/>
        <w:keepNext w:val="0"/>
        <w:keepLines w:val="0"/>
        <w:pageBreakBefore w:val="0"/>
        <w:widowControl w:val="0"/>
        <w:numPr>
          <w:ilvl w:val="0"/>
          <w:numId w:val="0"/>
        </w:numPr>
        <w:kinsoku/>
        <w:wordWrap/>
        <w:overflowPunct/>
        <w:topLinePunct w:val="0"/>
        <w:bidi w:val="0"/>
        <w:snapToGrid/>
        <w:spacing w:line="60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9、社会保障和就业支出（类）抚恤（款）死亡抚恤（项）。</w:t>
      </w:r>
    </w:p>
    <w:p>
      <w:pPr>
        <w:pStyle w:val="11"/>
        <w:keepNext w:val="0"/>
        <w:keepLines w:val="0"/>
        <w:pageBreakBefore w:val="0"/>
        <w:widowControl w:val="0"/>
        <w:numPr>
          <w:ilvl w:val="0"/>
          <w:numId w:val="0"/>
        </w:numPr>
        <w:kinsoku/>
        <w:wordWrap/>
        <w:overflowPunct/>
        <w:topLinePunct w:val="0"/>
        <w:bidi w:val="0"/>
        <w:snapToGrid/>
        <w:spacing w:line="60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年初预算为0万元，支出决算为28.23万元，决算数大于年初预算数的主要原因是：年初预算未安排，为年中追加安排的死亡抚恤支出。</w:t>
      </w:r>
    </w:p>
    <w:p>
      <w:pPr>
        <w:pStyle w:val="11"/>
        <w:keepNext w:val="0"/>
        <w:keepLines w:val="0"/>
        <w:pageBreakBefore w:val="0"/>
        <w:widowControl w:val="0"/>
        <w:numPr>
          <w:ilvl w:val="0"/>
          <w:numId w:val="0"/>
        </w:numPr>
        <w:kinsoku/>
        <w:wordWrap/>
        <w:overflowPunct/>
        <w:topLinePunct w:val="0"/>
        <w:bidi w:val="0"/>
        <w:snapToGrid/>
        <w:spacing w:line="60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10、卫生健康支出（类）行政事业单位医疗（款）事业单位医疗（项）。</w:t>
      </w:r>
    </w:p>
    <w:p>
      <w:pPr>
        <w:pStyle w:val="11"/>
        <w:keepNext w:val="0"/>
        <w:keepLines w:val="0"/>
        <w:pageBreakBefore w:val="0"/>
        <w:widowControl w:val="0"/>
        <w:numPr>
          <w:ilvl w:val="0"/>
          <w:numId w:val="0"/>
        </w:numPr>
        <w:kinsoku/>
        <w:wordWrap/>
        <w:overflowPunct/>
        <w:topLinePunct w:val="0"/>
        <w:bidi w:val="0"/>
        <w:snapToGrid/>
        <w:spacing w:line="60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年初预算为181.73万元，支出决算为181.73万元，完成年初预算的100%，决算数等于年初预算数。</w:t>
      </w:r>
    </w:p>
    <w:p>
      <w:pPr>
        <w:pStyle w:val="11"/>
        <w:keepNext w:val="0"/>
        <w:keepLines w:val="0"/>
        <w:pageBreakBefore w:val="0"/>
        <w:widowControl w:val="0"/>
        <w:numPr>
          <w:ilvl w:val="0"/>
          <w:numId w:val="0"/>
        </w:numPr>
        <w:kinsoku/>
        <w:wordWrap/>
        <w:overflowPunct/>
        <w:topLinePunct w:val="0"/>
        <w:bidi w:val="0"/>
        <w:snapToGrid/>
        <w:spacing w:line="600" w:lineRule="exact"/>
        <w:ind w:firstLine="64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11、卫生健康支出（类）行政事业单位医疗（款）行政单位医疗（项）。</w:t>
      </w:r>
    </w:p>
    <w:p>
      <w:pPr>
        <w:pStyle w:val="11"/>
        <w:keepNext w:val="0"/>
        <w:keepLines w:val="0"/>
        <w:pageBreakBefore w:val="0"/>
        <w:widowControl w:val="0"/>
        <w:numPr>
          <w:ilvl w:val="0"/>
          <w:numId w:val="0"/>
        </w:numPr>
        <w:kinsoku/>
        <w:wordWrap/>
        <w:overflowPunct/>
        <w:topLinePunct w:val="0"/>
        <w:bidi w:val="0"/>
        <w:snapToGrid/>
        <w:spacing w:line="60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年初预算为0万元，支出决算为5.87万元，决算数大于年初预算数的主要原因是：年初预算未安排，为年中追加安排的职工基本医疗保险缴费支出。</w:t>
      </w:r>
    </w:p>
    <w:p>
      <w:pPr>
        <w:pStyle w:val="11"/>
        <w:keepNext w:val="0"/>
        <w:keepLines w:val="0"/>
        <w:pageBreakBefore w:val="0"/>
        <w:widowControl w:val="0"/>
        <w:numPr>
          <w:ilvl w:val="0"/>
          <w:numId w:val="0"/>
        </w:numPr>
        <w:kinsoku/>
        <w:wordWrap/>
        <w:overflowPunct/>
        <w:topLinePunct w:val="0"/>
        <w:bidi w:val="0"/>
        <w:snapToGrid/>
        <w:spacing w:line="600" w:lineRule="exact"/>
        <w:ind w:firstLine="64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12、住房保障支出（类）住房改革支出（款）住房公积金（项）。</w:t>
      </w:r>
    </w:p>
    <w:p>
      <w:pPr>
        <w:pStyle w:val="11"/>
        <w:keepNext w:val="0"/>
        <w:keepLines w:val="0"/>
        <w:pageBreakBefore w:val="0"/>
        <w:widowControl w:val="0"/>
        <w:numPr>
          <w:ilvl w:val="0"/>
          <w:numId w:val="0"/>
        </w:numPr>
        <w:kinsoku/>
        <w:wordWrap/>
        <w:overflowPunct/>
        <w:topLinePunct w:val="0"/>
        <w:bidi w:val="0"/>
        <w:snapToGrid/>
        <w:spacing w:line="600" w:lineRule="exact"/>
        <w:ind w:firstLine="64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年初预算为250.67万元，支出决算为250.33万元，完成年初预算的99.86%，决算数小于年初预算数的主要原因是：人员变动。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4449.56</w:t>
      </w:r>
      <w:r>
        <w:rPr>
          <w:rFonts w:hint="eastAsia" w:ascii="Times New Roman" w:hAnsi="Times New Roman" w:eastAsia="仿宋_GB2312"/>
          <w:sz w:val="32"/>
          <w:szCs w:val="32"/>
        </w:rPr>
        <w:t>万元，其中：</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4401.81</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98.93</w:t>
      </w:r>
      <w:r>
        <w:rPr>
          <w:rFonts w:hint="eastAsia" w:ascii="Times New Roman" w:hAnsi="Times New Roman" w:eastAsia="仿宋_GB2312"/>
          <w:sz w:val="32"/>
          <w:szCs w:val="32"/>
        </w:rPr>
        <w:t>%,主要包括基本工资、津贴补贴、奖金</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绩效工资、机关事业单位基本养老保险缴费、职工基本医疗保险缴费、住房公积金、其他工资福利支出、抚恤金、生活补助、其他对个人和家庭的补助</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b/>
          <w:bCs/>
          <w:color w:val="FF0000"/>
          <w:sz w:val="32"/>
          <w:szCs w:val="32"/>
          <w:lang w:val="en-US" w:eastAsia="zh-CN"/>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47.75</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1.07</w:t>
      </w:r>
      <w:r>
        <w:rPr>
          <w:rFonts w:hint="eastAsia" w:ascii="Times New Roman" w:hAnsi="Times New Roman" w:eastAsia="仿宋_GB2312"/>
          <w:sz w:val="32"/>
          <w:szCs w:val="32"/>
        </w:rPr>
        <w:t>%，主要包括</w:t>
      </w:r>
      <w:r>
        <w:rPr>
          <w:rFonts w:hint="eastAsia" w:ascii="Times New Roman" w:hAnsi="Times New Roman" w:eastAsia="仿宋_GB2312"/>
          <w:sz w:val="32"/>
          <w:szCs w:val="32"/>
          <w:lang w:val="en-US" w:eastAsia="zh-CN"/>
        </w:rPr>
        <w:t>工会经费、公务用车运行维护费</w:t>
      </w:r>
      <w:r>
        <w:rPr>
          <w:rFonts w:hint="eastAsia" w:ascii="Times New Roman" w:hAnsi="Times New Roman" w:eastAsia="仿宋_GB2312"/>
          <w:sz w:val="32"/>
          <w:szCs w:val="32"/>
        </w:rPr>
        <w:t>。</w:t>
      </w:r>
    </w:p>
    <w:p>
      <w:pPr>
        <w:pStyle w:val="11"/>
        <w:keepNext w:val="0"/>
        <w:keepLines w:val="0"/>
        <w:pageBreakBefore w:val="0"/>
        <w:widowControl w:val="0"/>
        <w:numPr>
          <w:ilvl w:val="0"/>
          <w:numId w:val="2"/>
        </w:numPr>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财政拨款三公经费支出决算情况说明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万元，决算数与预算数一致，与上年持平。</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万元，决算数与预算数一致</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与上年相比减少</w:t>
      </w:r>
      <w:r>
        <w:rPr>
          <w:rFonts w:hint="eastAsia" w:ascii="Times New Roman" w:hAnsi="Times New Roman" w:eastAsia="仿宋_GB2312"/>
          <w:sz w:val="32"/>
          <w:szCs w:val="32"/>
          <w:lang w:val="en-US" w:eastAsia="zh-CN"/>
        </w:rPr>
        <w:t>23.62</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%,减少的主要原因是</w:t>
      </w:r>
      <w:r>
        <w:rPr>
          <w:rFonts w:hint="eastAsia" w:ascii="Times New Roman" w:hAnsi="Times New Roman" w:eastAsia="仿宋_GB2312"/>
          <w:sz w:val="32"/>
          <w:szCs w:val="32"/>
          <w:lang w:val="en-US" w:eastAsia="zh-CN"/>
        </w:rPr>
        <w:t>财政拨款未安排</w:t>
      </w:r>
      <w:r>
        <w:rPr>
          <w:rFonts w:hint="eastAsia" w:ascii="Times New Roman" w:hAnsi="Times New Roman" w:eastAsia="仿宋_GB2312"/>
          <w:sz w:val="32"/>
          <w:szCs w:val="32"/>
        </w:rPr>
        <w:t>公务接待费。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万元，决算数与预算数一致</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与上年持平</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决算数与预算数一致</w:t>
      </w:r>
      <w:r>
        <w:rPr>
          <w:rFonts w:hint="eastAsia" w:ascii="Times New Roman" w:hAnsi="Times New Roman" w:eastAsia="仿宋_GB2312"/>
          <w:sz w:val="32"/>
          <w:szCs w:val="32"/>
        </w:rPr>
        <w:t>，与上年相比增加</w:t>
      </w:r>
      <w:r>
        <w:rPr>
          <w:rFonts w:hint="eastAsia" w:ascii="Times New Roman" w:hAnsi="Times New Roman" w:eastAsia="仿宋_GB2312"/>
          <w:sz w:val="32"/>
          <w:szCs w:val="32"/>
          <w:lang w:val="en-US" w:eastAsia="zh-CN"/>
        </w:rPr>
        <w:t>0.68</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12.78</w:t>
      </w:r>
      <w:r>
        <w:rPr>
          <w:rFonts w:hint="eastAsia" w:ascii="Times New Roman" w:hAnsi="Times New Roman" w:eastAsia="仿宋_GB2312"/>
          <w:sz w:val="32"/>
          <w:szCs w:val="32"/>
        </w:rPr>
        <w:t>%,增长的主要原因是</w:t>
      </w:r>
      <w:r>
        <w:rPr>
          <w:rFonts w:hint="eastAsia" w:ascii="仿宋_GB2312" w:hAnsi="仿宋_GB2312" w:eastAsia="仿宋_GB2312" w:cs="仿宋_GB2312"/>
          <w:sz w:val="32"/>
          <w:szCs w:val="32"/>
        </w:rPr>
        <w:t>单位公车</w:t>
      </w:r>
      <w:r>
        <w:rPr>
          <w:rFonts w:hint="eastAsia" w:ascii="仿宋_GB2312" w:hAnsi="仿宋_GB2312" w:eastAsia="仿宋_GB2312" w:cs="仿宋_GB2312"/>
          <w:sz w:val="32"/>
          <w:szCs w:val="32"/>
          <w:lang w:val="en-US" w:eastAsia="zh-CN"/>
        </w:rPr>
        <w:t>实际使用</w:t>
      </w:r>
      <w:r>
        <w:rPr>
          <w:rFonts w:hint="eastAsia" w:ascii="仿宋_GB2312" w:hAnsi="仿宋_GB2312" w:eastAsia="仿宋_GB2312" w:cs="仿宋_GB2312"/>
          <w:sz w:val="32"/>
          <w:szCs w:val="32"/>
        </w:rPr>
        <w:t>数量</w:t>
      </w:r>
      <w:r>
        <w:rPr>
          <w:rFonts w:hint="eastAsia" w:ascii="仿宋_GB2312" w:hAnsi="仿宋_GB2312" w:eastAsia="仿宋_GB2312" w:cs="仿宋_GB2312"/>
          <w:sz w:val="32"/>
          <w:szCs w:val="32"/>
          <w:lang w:val="en-US" w:eastAsia="zh-CN"/>
        </w:rPr>
        <w:t>增加一</w:t>
      </w:r>
      <w:r>
        <w:rPr>
          <w:rFonts w:hint="eastAsia" w:ascii="仿宋_GB2312" w:hAnsi="仿宋_GB2312" w:eastAsia="仿宋_GB2312" w:cs="仿宋_GB2312"/>
          <w:sz w:val="32"/>
          <w:szCs w:val="32"/>
        </w:rPr>
        <w:t>辆</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b/>
          <w:bCs/>
          <w:color w:val="auto"/>
          <w:sz w:val="32"/>
          <w:szCs w:val="32"/>
          <w:lang w:val="en-US" w:eastAsia="zh-CN"/>
        </w:rPr>
        <w:t>，</w:t>
      </w:r>
      <w:r>
        <w:rPr>
          <w:rFonts w:hint="eastAsia" w:ascii="Times New Roman" w:hAnsi="Times New Roman" w:eastAsia="仿宋_GB2312" w:cstheme="minorBidi"/>
          <w:color w:val="auto"/>
          <w:kern w:val="2"/>
          <w:sz w:val="32"/>
          <w:szCs w:val="32"/>
          <w:lang w:val="en-US" w:eastAsia="zh-CN" w:bidi="ar-SA"/>
        </w:rPr>
        <w:t>2022年度我单位未开展因公出国（境）活动</w:t>
      </w:r>
      <w:r>
        <w:rPr>
          <w:rFonts w:hint="eastAsia" w:ascii="仿宋_GB2312" w:hAnsi="仿宋_GB2312" w:eastAsia="仿宋_GB2312" w:cs="仿宋_GB2312"/>
          <w:b w:val="0"/>
          <w:bCs w:val="0"/>
          <w:color w:val="auto"/>
          <w:sz w:val="32"/>
          <w:szCs w:val="32"/>
          <w:lang w:val="en-US" w:eastAsia="zh-CN"/>
        </w:rPr>
        <w:t>。</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val="en-US" w:eastAsia="zh-CN"/>
        </w:rPr>
        <w:t>2022年度我单位未安排财政拨款的公务接待费</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本单位无财政拨款更新公务用车</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万元，主要是</w:t>
      </w:r>
      <w:r>
        <w:rPr>
          <w:rFonts w:hint="eastAsia" w:ascii="仿宋_GB2312" w:hAnsi="仿宋_GB2312" w:eastAsia="仿宋_GB2312" w:cs="仿宋_GB2312"/>
          <w:sz w:val="32"/>
          <w:szCs w:val="32"/>
        </w:rPr>
        <w:t>车辆保险、维修保养、汽油、过桥过路</w:t>
      </w:r>
      <w:r>
        <w:rPr>
          <w:rFonts w:hint="eastAsia" w:ascii="Times New Roman" w:hAnsi="Times New Roman" w:eastAsia="仿宋_GB2312"/>
          <w:sz w:val="32"/>
          <w:szCs w:val="32"/>
        </w:rPr>
        <w:t>支出，截止202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辆。</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1"/>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2022年度本单位无政府性基金收支。</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九、关于机关运行经费支出说明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sz w:val="32"/>
          <w:szCs w:val="32"/>
          <w:lang w:val="en-US" w:eastAsia="zh-CN"/>
        </w:rPr>
        <w:t>本单位属于公益一类事业单位，不属于行政单位和参照公务员法管理事业单位，无机关运行经费</w:t>
      </w:r>
      <w:r>
        <w:rPr>
          <w:rFonts w:hint="eastAsia" w:ascii="Times New Roman" w:hAnsi="Times New Roman" w:eastAsia="仿宋_GB2312"/>
          <w:color w:val="auto"/>
          <w:sz w:val="32"/>
          <w:szCs w:val="32"/>
          <w:lang w:val="en-US"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万元，用于召开</w:t>
      </w:r>
      <w:r>
        <w:rPr>
          <w:rFonts w:hint="eastAsia" w:ascii="仿宋_GB2312" w:hAnsi="仿宋" w:eastAsia="仿宋_GB2312"/>
          <w:sz w:val="32"/>
          <w:szCs w:val="32"/>
          <w:highlight w:val="none"/>
          <w:lang w:val="en-US" w:eastAsia="zh-CN"/>
        </w:rPr>
        <w:t>招生宣传</w:t>
      </w:r>
      <w:r>
        <w:rPr>
          <w:rFonts w:hint="eastAsia" w:ascii="Times New Roman" w:hAnsi="Times New Roman" w:eastAsia="仿宋_GB2312"/>
          <w:sz w:val="32"/>
          <w:szCs w:val="32"/>
        </w:rPr>
        <w:t>会议，人数</w:t>
      </w:r>
      <w:r>
        <w:rPr>
          <w:rFonts w:hint="eastAsia" w:ascii="Times New Roman" w:hAnsi="Times New Roman" w:eastAsia="仿宋_GB2312"/>
          <w:sz w:val="32"/>
          <w:szCs w:val="32"/>
          <w:lang w:val="en-US" w:eastAsia="zh-CN"/>
        </w:rPr>
        <w:t>1100</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val="en-US" w:eastAsia="zh-CN"/>
        </w:rPr>
        <w:t>宣传介绍我校基本情况，尤其是学科专业及学生就业方面</w:t>
      </w:r>
      <w:r>
        <w:rPr>
          <w:rFonts w:hint="eastAsia" w:ascii="Times New Roman" w:hAnsi="Times New Roman" w:eastAsia="仿宋_GB2312"/>
          <w:sz w:val="32"/>
          <w:szCs w:val="32"/>
        </w:rPr>
        <w:t>；开支培训费</w:t>
      </w:r>
      <w:r>
        <w:rPr>
          <w:rFonts w:hint="eastAsia" w:ascii="Times New Roman" w:hAnsi="Times New Roman" w:eastAsia="仿宋_GB2312"/>
          <w:sz w:val="32"/>
          <w:szCs w:val="32"/>
          <w:lang w:val="en-US" w:eastAsia="zh-CN"/>
        </w:rPr>
        <w:t>6.96</w:t>
      </w:r>
      <w:r>
        <w:rPr>
          <w:rFonts w:hint="eastAsia" w:ascii="Times New Roman" w:hAnsi="Times New Roman" w:eastAsia="仿宋_GB2312"/>
          <w:sz w:val="32"/>
          <w:szCs w:val="32"/>
        </w:rPr>
        <w:t>万元，用于</w:t>
      </w:r>
      <w:r>
        <w:rPr>
          <w:rFonts w:hint="eastAsia" w:ascii="Times New Roman" w:hAnsi="Times New Roman" w:eastAsia="仿宋_GB2312"/>
          <w:sz w:val="32"/>
          <w:szCs w:val="32"/>
          <w:lang w:val="en-US" w:eastAsia="zh-CN"/>
        </w:rPr>
        <w:t>教师</w:t>
      </w:r>
      <w:r>
        <w:rPr>
          <w:rFonts w:hint="eastAsia" w:ascii="仿宋_GB2312" w:hAnsi="仿宋" w:eastAsia="仿宋_GB2312"/>
          <w:sz w:val="32"/>
          <w:szCs w:val="32"/>
          <w:highlight w:val="none"/>
          <w:lang w:val="en-US" w:eastAsia="zh-CN"/>
        </w:rPr>
        <w:t>培训</w:t>
      </w:r>
      <w:r>
        <w:rPr>
          <w:rFonts w:hint="eastAsia" w:ascii="Times New Roman" w:hAnsi="Times New Roman" w:eastAsia="仿宋_GB2312"/>
          <w:sz w:val="32"/>
          <w:szCs w:val="32"/>
        </w:rPr>
        <w:t>，人数</w:t>
      </w:r>
      <w:r>
        <w:rPr>
          <w:rFonts w:hint="eastAsia" w:ascii="Times New Roman" w:hAnsi="Times New Roman" w:eastAsia="仿宋_GB2312"/>
          <w:sz w:val="32"/>
          <w:szCs w:val="32"/>
          <w:lang w:val="en-US" w:eastAsia="zh-CN"/>
        </w:rPr>
        <w:t>68</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val="en-US" w:eastAsia="zh-CN"/>
        </w:rPr>
        <w:t>高校教师</w:t>
      </w:r>
      <w:r>
        <w:rPr>
          <w:rFonts w:hint="eastAsia" w:ascii="Times New Roman" w:hAnsi="Times New Roman" w:eastAsia="仿宋_GB2312"/>
          <w:sz w:val="32"/>
          <w:szCs w:val="32"/>
        </w:rPr>
        <w:t>培训</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思政专题培训、高校就业指导教师线上训练营培训及访问学者人选培训</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未</w:t>
      </w:r>
      <w:r>
        <w:rPr>
          <w:rFonts w:hint="eastAsia" w:ascii="Times New Roman" w:hAnsi="Times New Roman" w:eastAsia="仿宋_GB2312"/>
          <w:sz w:val="32"/>
          <w:szCs w:val="32"/>
        </w:rPr>
        <w:t>举办节庆、晚会、论坛、赛事</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rPr>
        <w:t>活动。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311.06</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311.06</w:t>
      </w:r>
      <w:r>
        <w:rPr>
          <w:rFonts w:hint="eastAsia" w:ascii="Times New Roman" w:hAnsi="Times New Roman" w:eastAsia="仿宋_GB2312"/>
          <w:sz w:val="32"/>
          <w:szCs w:val="32"/>
        </w:rPr>
        <w:t xml:space="preserve"> 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121.81</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39.16</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121.81</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39.16</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39.16</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 xml:space="preserve">  </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辆，其他用车主要是</w:t>
      </w:r>
      <w:r>
        <w:rPr>
          <w:rFonts w:hint="eastAsia" w:ascii="Times New Roman" w:hAnsi="Times New Roman" w:eastAsia="仿宋_GB2312"/>
          <w:sz w:val="32"/>
          <w:szCs w:val="32"/>
          <w:lang w:eastAsia="zh-CN"/>
        </w:rPr>
        <w:t>用于</w:t>
      </w:r>
      <w:r>
        <w:rPr>
          <w:rFonts w:hint="eastAsia" w:ascii="Times New Roman" w:hAnsi="Times New Roman" w:eastAsia="仿宋_GB2312"/>
          <w:sz w:val="32"/>
          <w:szCs w:val="32"/>
          <w:lang w:val="en-US" w:eastAsia="zh-CN"/>
        </w:rPr>
        <w:t>单位日常业务用车</w:t>
      </w:r>
      <w:r>
        <w:rPr>
          <w:rFonts w:hint="eastAsia" w:ascii="Times New Roman" w:hAnsi="Times New Roman" w:eastAsia="仿宋_GB2312"/>
          <w:sz w:val="32"/>
          <w:szCs w:val="32"/>
        </w:rPr>
        <w:t>；单位价值50万元以上通用设备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b/>
          <w:bCs/>
          <w:sz w:val="32"/>
          <w:szCs w:val="32"/>
          <w:lang w:eastAsia="zh-CN"/>
        </w:rPr>
      </w:pPr>
      <w:r>
        <w:rPr>
          <w:rFonts w:hint="eastAsia" w:ascii="Times New Roman" w:hAnsi="Times New Roman" w:eastAsia="仿宋_GB2312"/>
          <w:b/>
          <w:bCs/>
          <w:sz w:val="32"/>
          <w:szCs w:val="32"/>
          <w:lang w:eastAsia="zh-CN"/>
        </w:rPr>
        <w:t>一、</w:t>
      </w:r>
      <w:r>
        <w:rPr>
          <w:rFonts w:hint="eastAsia" w:ascii="Times New Roman" w:hAnsi="Times New Roman" w:eastAsia="仿宋_GB2312"/>
          <w:b/>
          <w:bCs/>
          <w:sz w:val="32"/>
          <w:szCs w:val="32"/>
          <w:lang w:val="en-US" w:eastAsia="zh-CN"/>
        </w:rPr>
        <w:t>永州师范高等专科学校</w:t>
      </w:r>
      <w:r>
        <w:rPr>
          <w:rFonts w:hint="eastAsia" w:ascii="Times New Roman" w:hAnsi="Times New Roman" w:eastAsia="仿宋_GB2312"/>
          <w:b/>
          <w:bCs/>
          <w:sz w:val="32"/>
          <w:szCs w:val="32"/>
          <w:lang w:eastAsia="zh-CN"/>
        </w:rPr>
        <w:t>部门整体</w:t>
      </w:r>
      <w:r>
        <w:rPr>
          <w:rFonts w:hint="eastAsia" w:ascii="Times New Roman" w:hAnsi="Times New Roman" w:eastAsia="仿宋_GB2312"/>
          <w:b/>
          <w:bCs/>
          <w:sz w:val="32"/>
          <w:szCs w:val="32"/>
        </w:rPr>
        <w:t>支出的绩效目标完成情况</w:t>
      </w:r>
      <w:r>
        <w:rPr>
          <w:rFonts w:hint="eastAsia" w:ascii="Times New Roman" w:hAnsi="Times New Roman" w:eastAsia="仿宋_GB2312"/>
          <w:b/>
          <w:bCs/>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right="0" w:rightChars="0" w:firstLine="640" w:firstLineChars="200"/>
        <w:textAlignment w:val="auto"/>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根据预算绩效管理要求，组织开展对本单位2022年度整体支出绩效评价，纳入2022年部门整体支出绩效的金额为9721.49万元，其中，基本支出4449.56万元，项目支出5271.93万元。2022年度，本部门严格按照年初预算进行部门整体支出，圆满完成了整体支出绩效总目标。本部门严格遵守中央“八项规定”和厉行节约的原则，“三公经费”控制率为100%，进一步强化内部管理制度建设，陆续出台新的财务管理制度，进一步规范财务流程，提高预算资金的使用效率。</w:t>
      </w:r>
    </w:p>
    <w:p>
      <w:pPr>
        <w:pStyle w:val="11"/>
        <w:keepNext w:val="0"/>
        <w:keepLines w:val="0"/>
        <w:pageBreakBefore w:val="0"/>
        <w:widowControl w:val="0"/>
        <w:numPr>
          <w:ilvl w:val="0"/>
          <w:numId w:val="3"/>
        </w:numPr>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b/>
          <w:bCs/>
          <w:sz w:val="32"/>
          <w:szCs w:val="32"/>
        </w:rPr>
      </w:pPr>
      <w:r>
        <w:rPr>
          <w:rFonts w:hint="eastAsia" w:ascii="Times New Roman" w:hAnsi="Times New Roman" w:eastAsia="仿宋_GB2312"/>
          <w:b/>
          <w:bCs/>
          <w:sz w:val="32"/>
          <w:szCs w:val="32"/>
          <w:lang w:val="en-US" w:eastAsia="zh-CN"/>
        </w:rPr>
        <w:t>永州师范高等专科学校</w:t>
      </w:r>
      <w:r>
        <w:rPr>
          <w:rFonts w:hint="eastAsia" w:ascii="Times New Roman" w:hAnsi="Times New Roman" w:eastAsia="仿宋_GB2312"/>
          <w:b/>
          <w:bCs/>
          <w:sz w:val="32"/>
          <w:szCs w:val="32"/>
        </w:rPr>
        <w:t>实现产出和取得效益的情况。</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1、坚持党建引领，党的领导全面加强。全年党委理论学习中心组共完成集中学习和交流研讨12次；组织教职工政治理论集中学习活动50余次；举办学习宣传贯彻党的二十大精神专题宣讲报告会30多场次；举办师生书画展1场；开展“学习新思想 奋进新征程”微宣讲比赛等10余场，有效推进党的二十大精神进校园、进班级、进头脑。先后被评为永州市无偿献血工作“先进单位”，永州市红十字系统“99公益日”活动优秀单位，永州共青团工作“红旗单位”，永州市“青年大学习”工作“先进单位”，6个志愿服务队被选为2022年“七彩假期”志愿服务示范团队。</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2、坚持科学管理，治理效能持续提升。优化完善学校各项管理制度，选优配强中层干部，完善民主监督机制，优化监督考核机制，优化财务后勤管理，强化校园安全与稳定。</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3、坚持立德树人，人才培养质量稳步提高。2022年学校获批“湖南省青春健康教育示范基地”“永州市青春健康教育示范基地”；荣获省级教学成果奖三等奖1项；荣获2022年省职业院校教师教学能力竞赛获奖5项；学生在2022年省职业院校技能竞赛中获奖4项；2022届毕业生总人数2352人，就业人数为2310人，其中升学882人，直接就业人数1428人，就业率达98.21%。</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4、坚持人才强校，师资队伍持续优化。2022年1人入选省高职专业认证委员会委员；1人入选省首批行业职业教育教学指导委员会委员；2人入选湖南省普通高校青年骨干教师；新增市级学科带头人1人、市级专业带头人4人、市级技能大师5人；引进高层次人才10人，其中博士1人。</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5、坚持服务发展，科研水平明显增强。2022年成功立项了“永州市社科基金课题”5项；“湖南省教育科学‘十四五’规划课题”2项；湖南省教育厅科学研究项目5项；湖南省职业教育教学改革项目3项；湖南省社会科学成果评审委员会课题成功立项1项。发表高水平学术论文45篇。</w:t>
      </w:r>
    </w:p>
    <w:p>
      <w:pPr>
        <w:pStyle w:val="11"/>
        <w:keepNext w:val="0"/>
        <w:keepLines w:val="0"/>
        <w:pageBreakBefore w:val="0"/>
        <w:widowControl w:val="0"/>
        <w:numPr>
          <w:ilvl w:val="0"/>
          <w:numId w:val="3"/>
        </w:numPr>
        <w:kinsoku/>
        <w:wordWrap/>
        <w:overflowPunct/>
        <w:topLinePunct w:val="0"/>
        <w:bidi w:val="0"/>
        <w:snapToGrid/>
        <w:spacing w:line="600" w:lineRule="exact"/>
        <w:ind w:left="0" w:leftChars="0" w:firstLine="640" w:firstLineChars="200"/>
        <w:jc w:val="left"/>
        <w:textAlignment w:val="auto"/>
        <w:rPr>
          <w:rFonts w:hint="eastAsia" w:ascii="Times New Roman" w:hAnsi="Times New Roman" w:eastAsia="仿宋_GB2312"/>
          <w:b/>
          <w:bCs/>
          <w:sz w:val="32"/>
          <w:szCs w:val="32"/>
          <w:lang w:eastAsia="zh-CN"/>
        </w:rPr>
      </w:pPr>
      <w:r>
        <w:rPr>
          <w:rFonts w:hint="eastAsia" w:ascii="Times New Roman" w:hAnsi="Times New Roman" w:eastAsia="仿宋_GB2312"/>
          <w:b/>
          <w:bCs/>
          <w:sz w:val="32"/>
          <w:szCs w:val="32"/>
          <w:lang w:val="en-US" w:eastAsia="zh-CN"/>
        </w:rPr>
        <w:t>永州师范高等专科学校</w:t>
      </w:r>
      <w:r>
        <w:rPr>
          <w:rFonts w:hint="eastAsia" w:ascii="Times New Roman" w:hAnsi="Times New Roman" w:eastAsia="仿宋_GB2312"/>
          <w:b/>
          <w:bCs/>
          <w:sz w:val="32"/>
          <w:szCs w:val="32"/>
        </w:rPr>
        <w:t>职责、行业发展规划</w:t>
      </w:r>
      <w:r>
        <w:rPr>
          <w:rFonts w:hint="eastAsia" w:ascii="Times New Roman" w:hAnsi="Times New Roman" w:eastAsia="仿宋_GB2312"/>
          <w:b/>
          <w:bCs/>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永州师范高等专科学校秉承“学高为师，身正为范”的校训，立足永州、面向全省、辐射周边省市，培养德智体美劳全面发展、“一专多能”、服务基础教育和经济社会发展的高素质人才；提质师范类专业、发展非师范专业、深化校企合作。</w:t>
      </w:r>
    </w:p>
    <w:p>
      <w:pPr>
        <w:pStyle w:val="11"/>
        <w:keepNext w:val="0"/>
        <w:keepLines w:val="0"/>
        <w:pageBreakBefore w:val="0"/>
        <w:widowControl w:val="0"/>
        <w:numPr>
          <w:ilvl w:val="0"/>
          <w:numId w:val="0"/>
        </w:numPr>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b w:val="0"/>
          <w:bCs w:val="0"/>
          <w:sz w:val="32"/>
          <w:szCs w:val="32"/>
          <w:lang w:val="en-US" w:eastAsia="zh-CN"/>
        </w:rPr>
      </w:pPr>
      <w:r>
        <w:rPr>
          <w:rFonts w:hint="eastAsia" w:ascii="Times New Roman" w:hAnsi="Times New Roman" w:eastAsia="仿宋_GB2312"/>
          <w:b/>
          <w:bCs/>
          <w:sz w:val="32"/>
          <w:szCs w:val="32"/>
          <w:lang w:eastAsia="zh-CN"/>
        </w:rPr>
        <w:t>四、</w:t>
      </w:r>
      <w:r>
        <w:rPr>
          <w:rFonts w:hint="eastAsia" w:ascii="Times New Roman" w:hAnsi="Times New Roman" w:eastAsia="仿宋_GB2312"/>
          <w:b/>
          <w:bCs/>
          <w:sz w:val="32"/>
          <w:szCs w:val="32"/>
        </w:rPr>
        <w:t>以预算资金管理为主线，</w:t>
      </w:r>
      <w:r>
        <w:rPr>
          <w:rFonts w:hint="eastAsia" w:ascii="Times New Roman" w:hAnsi="Times New Roman" w:eastAsia="仿宋_GB2312"/>
          <w:b/>
          <w:bCs/>
          <w:sz w:val="32"/>
          <w:szCs w:val="32"/>
          <w:lang w:val="en-US" w:eastAsia="zh-CN"/>
        </w:rPr>
        <w:t>永州师范高等专科学校</w:t>
      </w:r>
      <w:r>
        <w:rPr>
          <w:rFonts w:hint="eastAsia" w:ascii="Times New Roman" w:hAnsi="Times New Roman" w:eastAsia="仿宋_GB2312"/>
          <w:b/>
          <w:bCs/>
          <w:sz w:val="32"/>
          <w:szCs w:val="32"/>
        </w:rPr>
        <w:t>资产管理和开展业务情况</w:t>
      </w:r>
      <w:r>
        <w:rPr>
          <w:rFonts w:hint="eastAsia" w:ascii="Times New Roman" w:hAnsi="Times New Roman" w:eastAsia="仿宋_GB2312"/>
          <w:b/>
          <w:bCs/>
          <w:sz w:val="32"/>
          <w:szCs w:val="32"/>
          <w:lang w:eastAsia="zh-CN"/>
        </w:rPr>
        <w:t>。</w:t>
      </w:r>
    </w:p>
    <w:p>
      <w:pPr>
        <w:pStyle w:val="11"/>
        <w:keepNext w:val="0"/>
        <w:keepLines w:val="0"/>
        <w:pageBreakBefore w:val="0"/>
        <w:widowControl w:val="0"/>
        <w:numPr>
          <w:ilvl w:val="0"/>
          <w:numId w:val="0"/>
        </w:numPr>
        <w:kinsoku/>
        <w:wordWrap/>
        <w:overflowPunct/>
        <w:topLinePunct w:val="0"/>
        <w:bidi w:val="0"/>
        <w:snapToGrid/>
        <w:spacing w:line="600" w:lineRule="exact"/>
        <w:ind w:firstLine="640" w:firstLineChars="200"/>
        <w:jc w:val="left"/>
        <w:textAlignment w:val="auto"/>
        <w:rPr>
          <w:rFonts w:hint="default" w:ascii="Times New Roman" w:hAnsi="Times New Roman" w:eastAsia="仿宋_GB2312"/>
          <w:b/>
          <w:bCs/>
          <w:sz w:val="32"/>
          <w:szCs w:val="32"/>
          <w:lang w:val="en-US" w:eastAsia="zh-CN"/>
        </w:rPr>
      </w:pPr>
      <w:r>
        <w:rPr>
          <w:rFonts w:hint="eastAsia" w:ascii="Times New Roman" w:hAnsi="Times New Roman" w:eastAsia="仿宋_GB2312"/>
          <w:b w:val="0"/>
          <w:bCs w:val="0"/>
          <w:sz w:val="32"/>
          <w:szCs w:val="32"/>
          <w:lang w:val="en-US" w:eastAsia="zh-CN"/>
        </w:rPr>
        <w:t>严格执行现行固定资产管理制度，编制固定资产卡片，确保账面上能真实、完整的反映单位的固定资产情况。加强内部监督，定期或不定期的对固定资产进行盘点，学校聘请山东国子软件股份有限公司正在全面盘点资产。</w:t>
      </w:r>
    </w:p>
    <w:p>
      <w:pPr>
        <w:pStyle w:val="11"/>
        <w:keepNext w:val="0"/>
        <w:keepLines w:val="0"/>
        <w:pageBreakBefore w:val="0"/>
        <w:widowControl w:val="0"/>
        <w:numPr>
          <w:ilvl w:val="0"/>
          <w:numId w:val="0"/>
        </w:numPr>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b/>
          <w:bCs/>
          <w:sz w:val="32"/>
          <w:szCs w:val="32"/>
          <w:lang w:eastAsia="zh-CN"/>
        </w:rPr>
      </w:pPr>
      <w:r>
        <w:rPr>
          <w:rFonts w:hint="eastAsia" w:ascii="Times New Roman" w:hAnsi="Times New Roman" w:eastAsia="仿宋_GB2312"/>
          <w:b/>
          <w:bCs/>
          <w:sz w:val="32"/>
          <w:szCs w:val="32"/>
          <w:lang w:eastAsia="zh-CN"/>
        </w:rPr>
        <w:t>五、</w:t>
      </w:r>
      <w:r>
        <w:rPr>
          <w:rFonts w:hint="eastAsia" w:ascii="Times New Roman" w:hAnsi="Times New Roman" w:eastAsia="仿宋_GB2312"/>
          <w:b/>
          <w:bCs/>
          <w:sz w:val="32"/>
          <w:szCs w:val="32"/>
        </w:rPr>
        <w:t>从运行成本、管理效率、履职效能、社会效应、可持续发展能力和服务对象满意度等方面，衡量部门（单位）整体及核心业务实施效果</w:t>
      </w:r>
      <w:r>
        <w:rPr>
          <w:rFonts w:hint="eastAsia" w:ascii="Times New Roman" w:hAnsi="Times New Roman" w:eastAsia="仿宋_GB2312"/>
          <w:b/>
          <w:bCs/>
          <w:sz w:val="32"/>
          <w:szCs w:val="32"/>
          <w:lang w:eastAsia="zh-CN"/>
        </w:rPr>
        <w:t>。</w:t>
      </w:r>
    </w:p>
    <w:p>
      <w:pPr>
        <w:pStyle w:val="11"/>
        <w:keepNext w:val="0"/>
        <w:keepLines w:val="0"/>
        <w:pageBreakBefore w:val="0"/>
        <w:widowControl w:val="0"/>
        <w:numPr>
          <w:ilvl w:val="0"/>
          <w:numId w:val="0"/>
        </w:numPr>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从评价情况来看，本单位落实教书育人根本任务，集中财力保人员经费、保运转、保教育事业核心、重点工作的开展，使年初工作目标得以顺利完成。一是着力提升党的领导能力，以党建引领学校发展，大力推进廉政作风建设，开源节流，树牢过苦日子、紧日子的思想意识。二是着力构建高校治理体系，提升学校治理能力，继续探索校院两级管理体制，改革管理制度。三是着力抓好内涵建设，提升办学质量，以预算资金确保学校后续发展，推进缓建建筑复工，精品课程和专业特色等基础建设和内涵发展。四是着力加强师资队伍建设，建立健全教师专业发展机制，提升科研服务能力，加强科研经费投入和绩效管理，增强学校创新发展内驱力。五是着力提升办学保障能力，改善教育教学设施设备，营造良好校园环境，办人民满意的教育。</w:t>
      </w:r>
    </w:p>
    <w:p>
      <w:pPr>
        <w:pStyle w:val="11"/>
        <w:keepNext w:val="0"/>
        <w:keepLines w:val="0"/>
        <w:pageBreakBefore w:val="0"/>
        <w:widowControl w:val="0"/>
        <w:numPr>
          <w:ilvl w:val="0"/>
          <w:numId w:val="0"/>
        </w:numPr>
        <w:kinsoku/>
        <w:wordWrap/>
        <w:overflowPunct/>
        <w:topLinePunct w:val="0"/>
        <w:bidi w:val="0"/>
        <w:snapToGrid/>
        <w:spacing w:line="600" w:lineRule="exact"/>
        <w:ind w:firstLine="640" w:firstLineChars="200"/>
        <w:jc w:val="left"/>
        <w:textAlignment w:val="auto"/>
        <w:rPr>
          <w:rFonts w:hint="default" w:ascii="Times New Roman" w:hAnsi="Times New Roman" w:eastAsia="仿宋_GB2312"/>
          <w:b/>
          <w:bCs/>
          <w:sz w:val="32"/>
          <w:szCs w:val="32"/>
          <w:lang w:val="en-US" w:eastAsia="zh-CN"/>
        </w:rPr>
      </w:pPr>
      <w:r>
        <w:rPr>
          <w:rFonts w:hint="eastAsia" w:ascii="Times New Roman" w:hAnsi="Times New Roman" w:eastAsia="仿宋_GB2312"/>
          <w:b w:val="0"/>
          <w:bCs w:val="0"/>
          <w:sz w:val="32"/>
          <w:szCs w:val="32"/>
          <w:lang w:val="en-US" w:eastAsia="zh-CN"/>
        </w:rPr>
        <w:t>达到了学校年度预期目标，保障了教育教学正常运转。</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b/>
          <w:bCs/>
          <w:sz w:val="32"/>
          <w:szCs w:val="32"/>
          <w:lang w:eastAsia="zh-CN"/>
        </w:rPr>
      </w:pPr>
      <w:r>
        <w:rPr>
          <w:rFonts w:hint="eastAsia" w:ascii="Times New Roman" w:hAnsi="Times New Roman" w:eastAsia="仿宋_GB2312"/>
          <w:b/>
          <w:bCs/>
          <w:sz w:val="32"/>
          <w:szCs w:val="32"/>
          <w:lang w:eastAsia="zh-CN"/>
        </w:rPr>
        <w:t>一、</w:t>
      </w:r>
      <w:r>
        <w:rPr>
          <w:rFonts w:hint="eastAsia" w:ascii="Times New Roman" w:hAnsi="Times New Roman" w:eastAsia="仿宋_GB2312"/>
          <w:b/>
          <w:bCs/>
          <w:sz w:val="32"/>
          <w:szCs w:val="32"/>
        </w:rPr>
        <w:t>从预算和预算绩效管理，部门履职效能，资金分配、使用和管理，资产和财务管理、政府采购等方面归纳存在的问题</w:t>
      </w:r>
      <w:r>
        <w:rPr>
          <w:rFonts w:hint="eastAsia" w:ascii="Times New Roman" w:hAnsi="Times New Roman" w:eastAsia="仿宋_GB2312"/>
          <w:b/>
          <w:bCs/>
          <w:sz w:val="32"/>
          <w:szCs w:val="32"/>
          <w:lang w:eastAsia="zh-CN"/>
        </w:rPr>
        <w:t>。</w:t>
      </w:r>
    </w:p>
    <w:p>
      <w:pPr>
        <w:pStyle w:val="12"/>
        <w:spacing w:line="570" w:lineRule="exact"/>
        <w:ind w:firstLine="640"/>
        <w:jc w:val="left"/>
        <w:outlineLvl w:val="0"/>
        <w:rPr>
          <w:rFonts w:hint="eastAsia" w:ascii="仿宋_GB2312" w:hAnsi="Times New Roman" w:eastAsia="仿宋_GB2312" w:cs="Times New Roman"/>
          <w:sz w:val="32"/>
          <w:szCs w:val="32"/>
          <w:lang w:val="en-US" w:eastAsia="zh-CN"/>
        </w:rPr>
      </w:pPr>
      <w:r>
        <w:rPr>
          <w:rFonts w:hint="eastAsia" w:ascii="Times New Roman" w:hAnsi="Times New Roman" w:eastAsia="仿宋_GB2312"/>
          <w:b/>
          <w:bCs/>
          <w:sz w:val="32"/>
          <w:szCs w:val="32"/>
          <w:lang w:val="en-US" w:eastAsia="zh-CN"/>
        </w:rPr>
        <w:t xml:space="preserve"> </w:t>
      </w:r>
      <w:r>
        <w:rPr>
          <w:rFonts w:hint="eastAsia" w:ascii="仿宋_GB2312" w:hAnsi="Times New Roman" w:eastAsia="仿宋_GB2312" w:cs="Times New Roman"/>
          <w:sz w:val="32"/>
          <w:szCs w:val="32"/>
          <w:lang w:val="en-US" w:eastAsia="zh-CN"/>
        </w:rPr>
        <w:t>1.预算编制不够科学合理，年内预算追加金额较大，预算编制的合理性有待进一步提高。</w:t>
      </w:r>
    </w:p>
    <w:p>
      <w:pPr>
        <w:pStyle w:val="12"/>
        <w:spacing w:line="570" w:lineRule="exact"/>
        <w:ind w:firstLine="640"/>
        <w:jc w:val="left"/>
        <w:outlineLvl w:val="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2.年初预算绩效目标不够明确，绩效指标未细化和量化。</w:t>
      </w:r>
    </w:p>
    <w:p>
      <w:pPr>
        <w:pStyle w:val="11"/>
        <w:keepNext w:val="0"/>
        <w:keepLines w:val="0"/>
        <w:pageBreakBefore w:val="0"/>
        <w:widowControl w:val="0"/>
        <w:numPr>
          <w:ilvl w:val="0"/>
          <w:numId w:val="0"/>
        </w:numPr>
        <w:kinsoku/>
        <w:wordWrap/>
        <w:overflowPunct/>
        <w:topLinePunct w:val="0"/>
        <w:bidi w:val="0"/>
        <w:snapToGrid/>
        <w:spacing w:line="60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Times New Roman" w:hAnsi="Times New Roman" w:eastAsia="仿宋_GB2312"/>
          <w:b/>
          <w:bCs/>
          <w:sz w:val="32"/>
          <w:szCs w:val="32"/>
          <w:lang w:eastAsia="zh-CN"/>
        </w:rPr>
        <w:t>二、</w:t>
      </w:r>
      <w:r>
        <w:rPr>
          <w:rFonts w:hint="eastAsia" w:ascii="Times New Roman" w:hAnsi="Times New Roman" w:eastAsia="仿宋_GB2312"/>
          <w:b/>
          <w:bCs/>
          <w:sz w:val="32"/>
          <w:szCs w:val="32"/>
        </w:rPr>
        <w:t>反映各种预算支出执行偏离绩效目标的情况，并分析其原因。</w:t>
      </w:r>
    </w:p>
    <w:p>
      <w:pPr>
        <w:pStyle w:val="11"/>
        <w:keepNext w:val="0"/>
        <w:keepLines w:val="0"/>
        <w:pageBreakBefore w:val="0"/>
        <w:widowControl w:val="0"/>
        <w:numPr>
          <w:ilvl w:val="0"/>
          <w:numId w:val="0"/>
        </w:numPr>
        <w:kinsoku/>
        <w:wordWrap/>
        <w:overflowPunct/>
        <w:topLinePunct w:val="0"/>
        <w:bidi w:val="0"/>
        <w:snapToGrid/>
        <w:spacing w:line="60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1、2022年度基本支出年初预算数为3598.22万元，支出决算数为4449.56万元，完成年初预算的123.66%，决算大于预算的主要原因是：年中追加人员经费资金。</w:t>
      </w:r>
    </w:p>
    <w:p>
      <w:pPr>
        <w:pStyle w:val="11"/>
        <w:keepNext w:val="0"/>
        <w:keepLines w:val="0"/>
        <w:pageBreakBefore w:val="0"/>
        <w:widowControl w:val="0"/>
        <w:numPr>
          <w:ilvl w:val="0"/>
          <w:numId w:val="0"/>
        </w:numPr>
        <w:kinsoku/>
        <w:wordWrap/>
        <w:overflowPunct/>
        <w:topLinePunct w:val="0"/>
        <w:bidi w:val="0"/>
        <w:snapToGrid/>
        <w:spacing w:line="600" w:lineRule="exact"/>
        <w:ind w:firstLine="64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2、2022年度项目支出年初预算数为6000万元，支出决算数为5271.93万元，完成年初预算的87.87%，决算小于预算的主要原因是：永州幼儿师范高等专科学校建设资金年初预算3000万元，决算支出1500万元。</w:t>
      </w:r>
    </w:p>
    <w:p>
      <w:pPr>
        <w:pStyle w:val="11"/>
        <w:ind w:firstLine="640" w:firstLineChars="200"/>
        <w:jc w:val="left"/>
        <w:rPr>
          <w:rFonts w:hint="default" w:ascii="仿宋_GB2312" w:hAnsi="Times New Roman" w:eastAsia="仿宋_GB2312" w:cs="Times New Roman"/>
          <w:sz w:val="32"/>
          <w:szCs w:val="32"/>
          <w:lang w:val="en-US" w:eastAsia="zh-CN"/>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财政拨款收入：指财政当年拨付的资金，主要包括一般公共预算财政拨款，政府性基金预算财政拨款，国有资本经营预算财政拨款。</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二、上级补助收入：指事业单位从主管部门和上级单位取得的非财政补助收入。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三、事业收入：指事业单位开展专业业务活动及辅助活动所取得的收入。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四、经营收入：指事业单位在专业业务活动及其辅助活动之外开展非独立核算经营活动取得的收入。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五、附属单位上缴收入：指事业单位附属独立核算单位按照有关规定上缴的收入。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六、其他收入：指除上述“财政拨款收入”、“事业收入”、“经营收入”等以外的收入。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七、基本支出：指为保障机构正常运转、完成日常工作任务而发生的各项支出，包括人员支出和公用支出。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八、项目支出：指在基本支出以外为完成相关行政任务和事业发展目标所发生的各项支出。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九、“三公”经费：指通过财政拨款资金安排的因公出国（境）费、公务用车购置及运行费和公务接待费支出。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黑体"/>
          <w:b/>
          <w:bCs/>
          <w:color w:val="FF0000"/>
          <w:kern w:val="0"/>
          <w:sz w:val="32"/>
          <w:szCs w:val="32"/>
          <w:lang w:val="en-US" w:eastAsia="zh-CN" w:bidi="ar-SA"/>
        </w:rPr>
      </w:pPr>
      <w:r>
        <w:rPr>
          <w:rFonts w:hint="eastAsia" w:ascii="仿宋_GB2312" w:hAnsi="仿宋_GB2312" w:eastAsia="仿宋_GB2312" w:cs="仿宋_GB2312"/>
          <w:sz w:val="32"/>
          <w:szCs w:val="32"/>
          <w:lang w:val="en-US" w:eastAsia="zh-CN"/>
        </w:rPr>
        <w:t>十一、高等教育支出：指在完成高级中等教育基础上实施的教育支出，是培养具有社会责任感、创新精神和实践能力的高级专门人才。</w:t>
      </w:r>
      <w:bookmarkStart w:id="0" w:name="_GoBack"/>
      <w:bookmarkEnd w:id="0"/>
    </w:p>
    <w:p>
      <w:pPr>
        <w:pStyle w:val="11"/>
        <w:keepNext w:val="0"/>
        <w:keepLines w:val="0"/>
        <w:pageBreakBefore w:val="0"/>
        <w:widowControl w:val="0"/>
        <w:kinsoku/>
        <w:wordWrap/>
        <w:overflowPunct/>
        <w:topLinePunct w:val="0"/>
        <w:bidi w:val="0"/>
        <w:snapToGrid/>
        <w:spacing w:line="600" w:lineRule="exact"/>
        <w:ind w:firstLine="720" w:firstLineChars="200"/>
        <w:jc w:val="both"/>
        <w:textAlignment w:val="auto"/>
        <w:rPr>
          <w:rFonts w:hint="eastAsia" w:ascii="Times New Roman" w:hAnsi="Times New Roman" w:eastAsia="仿宋_GB2312" w:cs="黑体"/>
          <w:b/>
          <w:bCs/>
          <w:color w:val="FF0000"/>
          <w:kern w:val="0"/>
          <w:sz w:val="36"/>
          <w:szCs w:val="36"/>
          <w:lang w:val="en-US" w:eastAsia="zh-CN" w:bidi="ar-SA"/>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285BFC"/>
    <w:multiLevelType w:val="singleLevel"/>
    <w:tmpl w:val="A6285BFC"/>
    <w:lvl w:ilvl="0" w:tentative="0">
      <w:start w:val="2"/>
      <w:numFmt w:val="chineseCounting"/>
      <w:suff w:val="nothing"/>
      <w:lvlText w:val="%1、"/>
      <w:lvlJc w:val="left"/>
      <w:rPr>
        <w:rFonts w:hint="eastAsia"/>
      </w:rPr>
    </w:lvl>
  </w:abstractNum>
  <w:abstractNum w:abstractNumId="1">
    <w:nsid w:val="D9E3DA24"/>
    <w:multiLevelType w:val="singleLevel"/>
    <w:tmpl w:val="D9E3DA24"/>
    <w:lvl w:ilvl="0" w:tentative="0">
      <w:start w:val="1"/>
      <w:numFmt w:val="chineseCounting"/>
      <w:suff w:val="nothing"/>
      <w:lvlText w:val="%1、"/>
      <w:lvlJc w:val="left"/>
      <w:rPr>
        <w:rFonts w:hint="eastAsia"/>
      </w:rPr>
    </w:lvl>
  </w:abstractNum>
  <w:abstractNum w:abstractNumId="2">
    <w:nsid w:val="EFB36017"/>
    <w:multiLevelType w:val="singleLevel"/>
    <w:tmpl w:val="EFB36017"/>
    <w:lvl w:ilvl="0" w:tentative="0">
      <w:start w:val="7"/>
      <w:numFmt w:val="chineseCounting"/>
      <w:suff w:val="nothing"/>
      <w:lvlText w:val="%1、"/>
      <w:lvlJc w:val="left"/>
      <w:rPr>
        <w:rFonts w:hint="eastAsia"/>
      </w:rPr>
    </w:lvl>
  </w:abstractNum>
  <w:abstractNum w:abstractNumId="3">
    <w:nsid w:val="3A7324FA"/>
    <w:multiLevelType w:val="singleLevel"/>
    <w:tmpl w:val="3A7324FA"/>
    <w:lvl w:ilvl="0" w:tentative="0">
      <w:start w:val="3"/>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hNjFmZjE1ZDBhNDUyMWEzZGJmMzJmM2I4ZjVjNjY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C4D2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0453A"/>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14D28C9"/>
    <w:rsid w:val="015D0D5E"/>
    <w:rsid w:val="025D4D8E"/>
    <w:rsid w:val="041278DF"/>
    <w:rsid w:val="047B04DC"/>
    <w:rsid w:val="062122C0"/>
    <w:rsid w:val="075453F4"/>
    <w:rsid w:val="0A886720"/>
    <w:rsid w:val="0BEE7CFD"/>
    <w:rsid w:val="0D6F3D3F"/>
    <w:rsid w:val="0DE10621"/>
    <w:rsid w:val="0E6354DA"/>
    <w:rsid w:val="120F0ED0"/>
    <w:rsid w:val="142C45C0"/>
    <w:rsid w:val="146B1F2D"/>
    <w:rsid w:val="1599799B"/>
    <w:rsid w:val="16FB7986"/>
    <w:rsid w:val="18AD22E9"/>
    <w:rsid w:val="19FB22BA"/>
    <w:rsid w:val="1A0E3AB4"/>
    <w:rsid w:val="1C9C6787"/>
    <w:rsid w:val="1D0B72CB"/>
    <w:rsid w:val="1E0D658A"/>
    <w:rsid w:val="1F745A7D"/>
    <w:rsid w:val="21EF7359"/>
    <w:rsid w:val="234B3323"/>
    <w:rsid w:val="245D1763"/>
    <w:rsid w:val="276322F4"/>
    <w:rsid w:val="27B1FAE6"/>
    <w:rsid w:val="27E7489B"/>
    <w:rsid w:val="283536C5"/>
    <w:rsid w:val="29802F8C"/>
    <w:rsid w:val="29F70417"/>
    <w:rsid w:val="2C652BFB"/>
    <w:rsid w:val="2DC0292D"/>
    <w:rsid w:val="2EFC735B"/>
    <w:rsid w:val="2FDB53C0"/>
    <w:rsid w:val="317342A5"/>
    <w:rsid w:val="319E0088"/>
    <w:rsid w:val="323867C0"/>
    <w:rsid w:val="327633D8"/>
    <w:rsid w:val="32D54F17"/>
    <w:rsid w:val="33521E7F"/>
    <w:rsid w:val="3425795C"/>
    <w:rsid w:val="351E0FBF"/>
    <w:rsid w:val="36F86C18"/>
    <w:rsid w:val="392DB295"/>
    <w:rsid w:val="399F2FBB"/>
    <w:rsid w:val="3A263E74"/>
    <w:rsid w:val="3A6C5E85"/>
    <w:rsid w:val="3B567FF1"/>
    <w:rsid w:val="3D18555E"/>
    <w:rsid w:val="3D4B79F6"/>
    <w:rsid w:val="3D792D3C"/>
    <w:rsid w:val="3DBB7565"/>
    <w:rsid w:val="3E371A14"/>
    <w:rsid w:val="3E576D69"/>
    <w:rsid w:val="3ED862C8"/>
    <w:rsid w:val="3EDE4585"/>
    <w:rsid w:val="3FE7532C"/>
    <w:rsid w:val="423E3B35"/>
    <w:rsid w:val="43D00486"/>
    <w:rsid w:val="442C432A"/>
    <w:rsid w:val="45101210"/>
    <w:rsid w:val="45BB2DAE"/>
    <w:rsid w:val="45F2762F"/>
    <w:rsid w:val="469858AC"/>
    <w:rsid w:val="477409A8"/>
    <w:rsid w:val="4B02564D"/>
    <w:rsid w:val="4B183DBB"/>
    <w:rsid w:val="4BA07BA8"/>
    <w:rsid w:val="519A53EE"/>
    <w:rsid w:val="52374280"/>
    <w:rsid w:val="52A5743C"/>
    <w:rsid w:val="52CB6777"/>
    <w:rsid w:val="55303D4F"/>
    <w:rsid w:val="5626204E"/>
    <w:rsid w:val="5777D4F5"/>
    <w:rsid w:val="57FB7AFE"/>
    <w:rsid w:val="58310D6F"/>
    <w:rsid w:val="589570CB"/>
    <w:rsid w:val="59FD5A9E"/>
    <w:rsid w:val="5ADDD205"/>
    <w:rsid w:val="5B57053B"/>
    <w:rsid w:val="5C6507D2"/>
    <w:rsid w:val="5EBD5B0D"/>
    <w:rsid w:val="5ED87C0A"/>
    <w:rsid w:val="5FC6BB1E"/>
    <w:rsid w:val="5FF720F1"/>
    <w:rsid w:val="60733CDF"/>
    <w:rsid w:val="609E4B2A"/>
    <w:rsid w:val="623103B6"/>
    <w:rsid w:val="62353C0D"/>
    <w:rsid w:val="64AA0052"/>
    <w:rsid w:val="65B04F76"/>
    <w:rsid w:val="663706CD"/>
    <w:rsid w:val="66A933C3"/>
    <w:rsid w:val="67EF7CD1"/>
    <w:rsid w:val="67F178E9"/>
    <w:rsid w:val="68A60485"/>
    <w:rsid w:val="6940260E"/>
    <w:rsid w:val="6A905686"/>
    <w:rsid w:val="6E5D5D09"/>
    <w:rsid w:val="6E937F29"/>
    <w:rsid w:val="6EFFB9EA"/>
    <w:rsid w:val="6F6A0833"/>
    <w:rsid w:val="6F717317"/>
    <w:rsid w:val="6FE02F0C"/>
    <w:rsid w:val="71161E25"/>
    <w:rsid w:val="71931FAF"/>
    <w:rsid w:val="731505F8"/>
    <w:rsid w:val="737D59BA"/>
    <w:rsid w:val="73C94F25"/>
    <w:rsid w:val="74DD43BC"/>
    <w:rsid w:val="765B6902"/>
    <w:rsid w:val="77510985"/>
    <w:rsid w:val="777D0EFD"/>
    <w:rsid w:val="77C37683"/>
    <w:rsid w:val="79FF515B"/>
    <w:rsid w:val="7A0A6111"/>
    <w:rsid w:val="7A1523D9"/>
    <w:rsid w:val="7A6301DE"/>
    <w:rsid w:val="7B275BDA"/>
    <w:rsid w:val="7B7B048A"/>
    <w:rsid w:val="7DAFCFE2"/>
    <w:rsid w:val="7E9F11B4"/>
    <w:rsid w:val="7F7D579B"/>
    <w:rsid w:val="7FC69637"/>
    <w:rsid w:val="7FFDB408"/>
    <w:rsid w:val="BB773263"/>
    <w:rsid w:val="BFFA93C9"/>
    <w:rsid w:val="CBFF70E0"/>
    <w:rsid w:val="D7FFB724"/>
    <w:rsid w:val="DE7FEA5D"/>
    <w:rsid w:val="ECFCCF66"/>
    <w:rsid w:val="EEABED75"/>
    <w:rsid w:val="F7FF21B5"/>
    <w:rsid w:val="FB36E1A6"/>
    <w:rsid w:val="FBDD7339"/>
    <w:rsid w:val="FDF5C163"/>
    <w:rsid w:val="FE7B87F2"/>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next w:val="1"/>
    <w:qFormat/>
    <w:uiPriority w:val="0"/>
    <w:pPr>
      <w:snapToGrid/>
      <w:spacing w:line="400" w:lineRule="exact"/>
      <w:ind w:firstLine="480" w:firstLineChars="200"/>
    </w:pPr>
    <w:rPr>
      <w:rFonts w:ascii="Calibri" w:hAnsi="Calibri"/>
      <w:sz w:val="21"/>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character" w:customStyle="1" w:styleId="14">
    <w:name w:val="font01"/>
    <w:basedOn w:val="8"/>
    <w:qFormat/>
    <w:uiPriority w:val="0"/>
    <w:rPr>
      <w:rFonts w:hint="eastAsia" w:ascii="宋体" w:hAnsi="宋体" w:eastAsia="宋体" w:cs="宋体"/>
      <w:color w:val="000000"/>
      <w:sz w:val="22"/>
      <w:szCs w:val="22"/>
      <w:u w:val="none"/>
    </w:rPr>
  </w:style>
  <w:style w:type="character" w:customStyle="1" w:styleId="15">
    <w:name w:val="font21"/>
    <w:basedOn w:val="8"/>
    <w:qFormat/>
    <w:uiPriority w:val="0"/>
    <w:rPr>
      <w:rFonts w:hint="eastAsia" w:ascii="宋体" w:hAnsi="宋体" w:eastAsia="宋体" w:cs="宋体"/>
      <w:color w:val="000000"/>
      <w:sz w:val="24"/>
      <w:szCs w:val="24"/>
      <w:u w:val="none"/>
    </w:rPr>
  </w:style>
  <w:style w:type="character" w:customStyle="1" w:styleId="16">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1347</Words>
  <Characters>7679</Characters>
  <Lines>63</Lines>
  <Paragraphs>18</Paragraphs>
  <TotalTime>16</TotalTime>
  <ScaleCrop>false</ScaleCrop>
  <LinksUpToDate>false</LinksUpToDate>
  <CharactersWithSpaces>9008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2020-07-05T10:32:00Z</dcterms:created>
  <dc:creator>李航 null</dc:creator>
  <cp:lastModifiedBy>Administrator</cp:lastModifiedBy>
  <cp:lastPrinted>2023-08-16T01:28:00Z</cp:lastPrinted>
  <dcterms:modified xsi:type="dcterms:W3CDTF">2023-09-21T00:53:31Z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DAD3654BDCA74735A34EE7A47E8B7502_13</vt:lpwstr>
  </property>
</Properties>
</file>